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center"/>
        <w:rPr>
          <w:caps w:val="false"/>
          <w:smallCaps w:val="false"/>
        </w:rPr>
      </w:pPr>
      <w:bookmarkStart w:id="0" w:name="form8-k.htm"/>
      <w:bookmarkStart w:id="1" w:name="ksform8k"/>
      <w:bookmarkEnd w:id="0"/>
      <w:bookmarkEnd w:id="1"/>
      <w:r>
        <w:rPr>
          <w:caps w:val="false"/>
          <w:smallCaps w:val="false"/>
        </w:rPr>
        <w:t> </w:t>
      </w:r>
    </w:p>
    <w:p>
      <w:pPr>
        <w:pStyle w:val="TextBody"/>
        <w:bidi w:val="0"/>
        <w:jc w:val="left"/>
        <w:rPr>
          <w:bdr w:val="single" w:sz="32" w:space="1" w:color="000000"/>
        </w:rPr>
      </w:pPr>
      <w:r>
        <w:rPr>
          <w:bdr w:val="single" w:sz="32" w:space="1" w:color="000000"/>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UNITED STATES</w:t>
      </w:r>
    </w:p>
    <w:p>
      <w:pPr>
        <w:pStyle w:val="TextBody"/>
        <w:bidi w:val="0"/>
        <w:spacing w:before="0" w:after="0"/>
        <w:ind w:left="0" w:right="0" w:hanging="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SECURITIES AND EXCHANGE COMMISSION</w:t>
      </w:r>
    </w:p>
    <w:p>
      <w:pPr>
        <w:pStyle w:val="TextBody"/>
        <w:bidi w:val="0"/>
        <w:spacing w:before="0" w:after="0"/>
        <w:ind w:left="0" w:right="0" w:hanging="0"/>
        <w:jc w:val="center"/>
        <w:rPr>
          <w:rFonts w:ascii="Times New Roman;Times;Serif" w:hAnsi="Times New Roman;Times;Serif"/>
          <w:b/>
          <w:i w:val="false"/>
          <w:caps w:val="false"/>
          <w:smallCaps w:val="false"/>
          <w:sz w:val="24"/>
        </w:rPr>
      </w:pPr>
      <w:r>
        <w:rPr>
          <w:rFonts w:ascii="Times New Roman;Times;Serif" w:hAnsi="Times New Roman;Times;Serif"/>
          <w:b/>
          <w:i w:val="false"/>
          <w:caps w:val="false"/>
          <w:smallCaps w:val="false"/>
          <w:sz w:val="24"/>
        </w:rPr>
        <w:t>WASHINGTON, D.C. 20549</w:t>
      </w:r>
    </w:p>
    <w:p>
      <w:pPr>
        <w:pStyle w:val="TextBody"/>
        <w:bidi w:val="0"/>
        <w:spacing w:before="0" w:after="0"/>
        <w:ind w:left="0" w:right="0" w:hanging="0"/>
        <w:jc w:val="center"/>
        <w:rPr>
          <w:caps w:val="false"/>
          <w:smallCaps w:val="false"/>
        </w:rPr>
      </w:pPr>
      <w:r>
        <w:rPr>
          <w:caps w:val="false"/>
          <w:smallCaps w:val="false"/>
        </w:rPr>
        <w:t> </w:t>
      </w:r>
    </w:p>
    <w:p>
      <w:pPr>
        <w:pStyle w:val="TextBody"/>
        <w:bidi w:val="0"/>
        <w:ind w:left="0" w:right="0" w:hanging="0"/>
        <w:jc w:val="left"/>
        <w:rPr>
          <w:bdr w:val="single" w:sz="8" w:space="1" w:color="000000"/>
        </w:rPr>
      </w:pPr>
      <w:r>
        <w:rPr>
          <w:bdr w:val="single" w:sz="8" w:space="1" w:color="000000"/>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 xml:space="preserve">FORM </w:t>
      </w:r>
      <w:bookmarkStart w:id="2" w:name="xdx_904_edei--DocumentType_c20260629__20"/>
      <w:bookmarkEnd w:id="2"/>
      <w:r>
        <w:rPr>
          <w:rFonts w:ascii="Times New Roman;Times;Serif" w:hAnsi="Times New Roman;Times;Serif"/>
          <w:b/>
          <w:i w:val="false"/>
          <w:caps w:val="false"/>
          <w:smallCaps w:val="false"/>
          <w:sz w:val="36"/>
        </w:rPr>
        <w:t>8-K</w:t>
      </w:r>
    </w:p>
    <w:p>
      <w:pPr>
        <w:pStyle w:val="TextBody"/>
        <w:bidi w:val="0"/>
        <w:spacing w:before="0" w:after="0"/>
        <w:ind w:left="0" w:right="0" w:hanging="0"/>
        <w:jc w:val="center"/>
        <w:rPr>
          <w:caps w:val="false"/>
          <w:smallCaps w:val="false"/>
        </w:rPr>
      </w:pPr>
      <w:r>
        <w:rPr>
          <w:caps w:val="false"/>
          <w:smallCaps w:val="false"/>
        </w:rPr>
        <w:t> </w:t>
      </w:r>
    </w:p>
    <w:p>
      <w:pPr>
        <w:pStyle w:val="TextBody"/>
        <w:bidi w:val="0"/>
        <w:ind w:left="0" w:right="0" w:hanging="0"/>
        <w:jc w:val="left"/>
        <w:rPr>
          <w:bdr w:val="single" w:sz="8" w:space="1" w:color="000000"/>
        </w:rPr>
      </w:pPr>
      <w:r>
        <w:rPr>
          <w:bdr w:val="single" w:sz="8" w:space="1" w:color="000000"/>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CURRENT REPORT</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Pursuant to Section 13 or 15(d) of the Securities Exchange Act of 1934</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Date of Report (Date of earliest event reported): </w:t>
      </w:r>
      <w:bookmarkStart w:id="3" w:name="xdx_908_edei--DocumentPeriodEndDate_c202"/>
      <w:bookmarkEnd w:id="3"/>
      <w:r>
        <w:rPr>
          <w:rFonts w:ascii="Times New Roman;Times;Serif" w:hAnsi="Times New Roman;Times;Serif"/>
          <w:b/>
          <w:i w:val="false"/>
          <w:caps w:val="false"/>
          <w:smallCaps w:val="false"/>
          <w:sz w:val="20"/>
        </w:rPr>
        <w:t>June 29, 2026</w:t>
      </w:r>
    </w:p>
    <w:p>
      <w:pPr>
        <w:pStyle w:val="TextBody"/>
        <w:bidi w:val="0"/>
        <w:spacing w:before="0" w:after="0"/>
        <w:ind w:left="0" w:right="0" w:hanging="0"/>
        <w:jc w:val="center"/>
        <w:rPr>
          <w:caps w:val="false"/>
          <w:smallCaps w:val="false"/>
        </w:rPr>
      </w:pPr>
      <w:r>
        <w:rPr>
          <w:caps w:val="false"/>
          <w:smallCaps w:val="false"/>
        </w:rPr>
        <w:t> </w:t>
      </w:r>
    </w:p>
    <w:p>
      <w:pPr>
        <w:pStyle w:val="TextBody"/>
        <w:bidi w:val="0"/>
        <w:ind w:left="0" w:right="0" w:hanging="0"/>
        <w:jc w:val="left"/>
        <w:rPr>
          <w:bdr w:val="single" w:sz="8" w:space="1" w:color="000000"/>
        </w:rPr>
      </w:pPr>
      <w:r>
        <w:rPr>
          <w:bdr w:val="single" w:sz="8" w:space="1" w:color="000000"/>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36"/>
        </w:rPr>
      </w:pPr>
      <w:bookmarkStart w:id="4" w:name="xdx_905_edei--EntityRegistrantName_c2026"/>
      <w:bookmarkEnd w:id="4"/>
      <w:r>
        <w:rPr>
          <w:rFonts w:ascii="Times New Roman;Times;Serif" w:hAnsi="Times New Roman;Times;Serif"/>
          <w:b/>
          <w:i w:val="false"/>
          <w:caps w:val="false"/>
          <w:smallCaps w:val="false"/>
          <w:sz w:val="36"/>
        </w:rPr>
        <w:t>ROADZEN INC.</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(Exact name of Registrant as Specified in Its Charter)</w:t>
      </w:r>
    </w:p>
    <w:p>
      <w:pPr>
        <w:pStyle w:val="TextBody"/>
        <w:bidi w:val="0"/>
        <w:spacing w:before="0" w:after="0"/>
        <w:ind w:left="0" w:right="0" w:hanging="0"/>
        <w:jc w:val="center"/>
        <w:rPr>
          <w:caps w:val="false"/>
          <w:smallCaps w:val="false"/>
        </w:rPr>
      </w:pPr>
      <w:r>
        <w:rPr>
          <w:caps w:val="false"/>
          <w:smallCaps w:val="false"/>
        </w:rPr>
        <w:t> </w:t>
      </w:r>
    </w:p>
    <w:p>
      <w:pPr>
        <w:pStyle w:val="TextBody"/>
        <w:bidi w:val="0"/>
        <w:ind w:left="0" w:right="0" w:hanging="0"/>
        <w:jc w:val="left"/>
        <w:rPr>
          <w:bdr w:val="single" w:sz="8" w:space="1" w:color="000000"/>
        </w:rPr>
      </w:pPr>
      <w:r>
        <w:rPr>
          <w:bdr w:val="single" w:sz="8" w:space="1" w:color="000000"/>
        </w:rPr>
        <w:t> </w:t>
      </w:r>
    </w:p>
    <w:p>
      <w:pPr>
        <w:pStyle w:val="TextBody"/>
        <w:bidi w:val="0"/>
        <w:spacing w:before="0" w:after="0"/>
        <w:ind w:left="0" w:right="0" w:hanging="0"/>
        <w:jc w:val="center"/>
        <w:rPr>
          <w:caps w:val="false"/>
          <w:smallCaps w:val="false"/>
        </w:rPr>
      </w:pPr>
      <w:r>
        <w:rPr>
          <w:caps w:val="false"/>
          <w:smallCaps w:val="false"/>
        </w:rPr>
        <w:t> </w:t>
      </w:r>
    </w:p>
    <w:tbl>
      <w:tblPr>
        <w:tblW w:w="5190" w:type="dxa"/>
        <w:jc w:val="left"/>
        <w:tblInd w:w="0" w:type="dxa"/>
        <w:tblLayout w:type="fixed"/>
        <w:tblCellMar>
          <w:top w:w="0" w:type="dxa"/>
          <w:left w:w="0" w:type="dxa"/>
          <w:bottom w:w="0" w:type="dxa"/>
          <w:right w:w="0" w:type="dxa"/>
        </w:tblCellMar>
      </w:tblPr>
      <w:tblGrid>
        <w:gridCol w:w="2360"/>
        <w:gridCol w:w="60"/>
        <w:gridCol w:w="1145"/>
        <w:gridCol w:w="60"/>
        <w:gridCol w:w="1565"/>
      </w:tblGrid>
      <w:tr>
        <w:trPr/>
        <w:tc>
          <w:tcPr>
            <w:tcW w:w="2360" w:type="dxa"/>
            <w:tcBorders/>
            <w:vAlign w:val="center"/>
          </w:tcPr>
          <w:p>
            <w:pPr>
              <w:pStyle w:val="TableContents"/>
              <w:bidi w:val="0"/>
              <w:spacing w:before="0" w:after="283"/>
              <w:jc w:val="center"/>
              <w:rPr>
                <w:rFonts w:ascii="Times New Roman;Times;Serif" w:hAnsi="Times New Roman;Times;Serif"/>
                <w:b/>
                <w:i w:val="false"/>
                <w:caps w:val="false"/>
                <w:smallCaps w:val="false"/>
                <w:sz w:val="20"/>
              </w:rPr>
            </w:pPr>
            <w:bookmarkStart w:id="5" w:name="xdx_904_edei--EntityIncorporationStateCo"/>
            <w:bookmarkEnd w:id="5"/>
            <w:r>
              <w:rPr>
                <w:rFonts w:ascii="Times New Roman;Times;Serif" w:hAnsi="Times New Roman;Times;Serif"/>
                <w:b/>
                <w:i w:val="false"/>
                <w:caps w:val="false"/>
                <w:smallCaps w:val="false"/>
                <w:sz w:val="20"/>
              </w:rPr>
              <w:t>British Virgin Islands</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1145" w:type="dxa"/>
            <w:tcBorders/>
            <w:vAlign w:val="center"/>
          </w:tcPr>
          <w:p>
            <w:pPr>
              <w:pStyle w:val="TableContents"/>
              <w:bidi w:val="0"/>
              <w:spacing w:before="0" w:after="283"/>
              <w:jc w:val="center"/>
              <w:rPr>
                <w:rFonts w:ascii="Times New Roman;Times;Serif" w:hAnsi="Times New Roman;Times;Serif"/>
                <w:b/>
                <w:i w:val="false"/>
                <w:caps w:val="false"/>
                <w:smallCaps w:val="false"/>
                <w:sz w:val="20"/>
              </w:rPr>
            </w:pPr>
            <w:bookmarkStart w:id="6" w:name="xdx_908_edei--EntityFileNumber_c20260629"/>
            <w:bookmarkEnd w:id="6"/>
            <w:r>
              <w:rPr>
                <w:rFonts w:ascii="Times New Roman;Times;Serif" w:hAnsi="Times New Roman;Times;Serif"/>
                <w:b/>
                <w:i w:val="false"/>
                <w:caps w:val="false"/>
                <w:smallCaps w:val="false"/>
                <w:sz w:val="20"/>
              </w:rPr>
              <w:t>001-41094</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1565" w:type="dxa"/>
            <w:tcBorders/>
            <w:vAlign w:val="center"/>
          </w:tcPr>
          <w:p>
            <w:pPr>
              <w:pStyle w:val="TableContents"/>
              <w:bidi w:val="0"/>
              <w:spacing w:before="0" w:after="283"/>
              <w:jc w:val="center"/>
              <w:rPr>
                <w:rFonts w:ascii="Times New Roman;Times;Serif" w:hAnsi="Times New Roman;Times;Serif"/>
                <w:b/>
                <w:i w:val="false"/>
                <w:caps w:val="false"/>
                <w:smallCaps w:val="false"/>
                <w:sz w:val="20"/>
              </w:rPr>
            </w:pPr>
            <w:bookmarkStart w:id="7" w:name="xdx_905_edei--EntityTaxIdentificationNum"/>
            <w:bookmarkEnd w:id="7"/>
            <w:r>
              <w:rPr>
                <w:rFonts w:ascii="Times New Roman;Times;Serif" w:hAnsi="Times New Roman;Times;Serif"/>
                <w:b/>
                <w:i w:val="false"/>
                <w:caps w:val="false"/>
                <w:smallCaps w:val="false"/>
                <w:sz w:val="20"/>
              </w:rPr>
              <w:t>98-1600102</w:t>
            </w:r>
          </w:p>
        </w:tc>
      </w:tr>
      <w:tr>
        <w:trPr/>
        <w:tc>
          <w:tcPr>
            <w:tcW w:w="2360" w:type="dxa"/>
            <w:tcBorders/>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(State or Other Jurisdiction</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of Incorporation)</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1145" w:type="dxa"/>
            <w:tcBorders/>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(Commission</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File Number)</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1565" w:type="dxa"/>
            <w:tcBorders/>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(IRS Employer</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Identification No.)</w:t>
            </w:r>
          </w:p>
        </w:tc>
      </w:tr>
    </w:tbl>
    <w:p>
      <w:pPr>
        <w:pStyle w:val="TextBody"/>
        <w:bidi w:val="0"/>
        <w:spacing w:before="0" w:after="0"/>
        <w:ind w:left="0" w:right="0" w:hanging="0"/>
        <w:jc w:val="center"/>
        <w:rPr>
          <w:caps w:val="false"/>
          <w:smallCaps w:val="false"/>
        </w:rPr>
      </w:pPr>
      <w:r>
        <w:rPr>
          <w:caps w:val="false"/>
          <w:smallCaps w:val="false"/>
        </w:rPr>
        <w:t> </w:t>
      </w:r>
    </w:p>
    <w:tbl>
      <w:tblPr>
        <w:tblW w:w="4390" w:type="dxa"/>
        <w:jc w:val="left"/>
        <w:tblInd w:w="0" w:type="dxa"/>
        <w:tblLayout w:type="fixed"/>
        <w:tblCellMar>
          <w:top w:w="0" w:type="dxa"/>
          <w:left w:w="0" w:type="dxa"/>
          <w:bottom w:w="0" w:type="dxa"/>
          <w:right w:w="0" w:type="dxa"/>
        </w:tblCellMar>
      </w:tblPr>
      <w:tblGrid>
        <w:gridCol w:w="3395"/>
        <w:gridCol w:w="60"/>
        <w:gridCol w:w="935"/>
      </w:tblGrid>
      <w:tr>
        <w:trPr/>
        <w:tc>
          <w:tcPr>
            <w:tcW w:w="3395" w:type="dxa"/>
            <w:tcBorders/>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bookmarkStart w:id="8" w:name="xdx_903_edei--EntityAddressAddressLine1_"/>
            <w:bookmarkEnd w:id="8"/>
            <w:r>
              <w:rPr>
                <w:rFonts w:ascii="Times New Roman;Times;Serif" w:hAnsi="Times New Roman;Times;Serif"/>
                <w:b/>
                <w:i w:val="false"/>
                <w:caps w:val="false"/>
                <w:smallCaps w:val="false"/>
                <w:sz w:val="20"/>
              </w:rPr>
              <w:t>111 Anza Blvd</w:t>
            </w:r>
          </w:p>
          <w:p>
            <w:pPr>
              <w:pStyle w:val="TableContents"/>
              <w:bidi w:val="0"/>
              <w:spacing w:before="0" w:after="0"/>
              <w:ind w:left="0" w:right="0" w:hanging="0"/>
              <w:jc w:val="center"/>
              <w:rPr>
                <w:rFonts w:ascii="Times New Roman;Times;Serif" w:hAnsi="Times New Roman;Times;Serif"/>
                <w:b/>
                <w:i w:val="false"/>
                <w:caps w:val="false"/>
                <w:smallCaps w:val="false"/>
                <w:sz w:val="20"/>
              </w:rPr>
            </w:pPr>
            <w:bookmarkStart w:id="9" w:name="xdx_90A_edei--EntityAddressAddressLine2_"/>
            <w:bookmarkEnd w:id="9"/>
            <w:r>
              <w:rPr>
                <w:rFonts w:ascii="Times New Roman;Times;Serif" w:hAnsi="Times New Roman;Times;Serif"/>
                <w:b/>
                <w:i w:val="false"/>
                <w:caps w:val="false"/>
                <w:smallCaps w:val="false"/>
                <w:sz w:val="20"/>
              </w:rPr>
              <w:t>Suite 109</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935" w:type="dxa"/>
            <w:tcBorders/>
            <w:vAlign w:val="center"/>
          </w:tcPr>
          <w:p>
            <w:pPr>
              <w:pStyle w:val="TableContents"/>
              <w:bidi w:val="0"/>
              <w:spacing w:before="0" w:after="283"/>
              <w:jc w:val="center"/>
              <w:rPr>
                <w:caps w:val="false"/>
                <w:smallCaps w:val="false"/>
              </w:rPr>
            </w:pPr>
            <w:r>
              <w:rPr>
                <w:caps w:val="false"/>
                <w:smallCaps w:val="false"/>
              </w:rPr>
              <w:t> </w:t>
            </w:r>
          </w:p>
        </w:tc>
      </w:tr>
      <w:tr>
        <w:trPr/>
        <w:tc>
          <w:tcPr>
            <w:tcW w:w="3395" w:type="dxa"/>
            <w:tcBorders/>
            <w:vAlign w:val="center"/>
          </w:tcPr>
          <w:p>
            <w:pPr>
              <w:pStyle w:val="TableContents"/>
              <w:bidi w:val="0"/>
              <w:spacing w:before="0" w:after="283"/>
              <w:jc w:val="center"/>
              <w:rPr>
                <w:rFonts w:ascii="Times New Roman;Times;Serif" w:hAnsi="Times New Roman;Times;Serif"/>
                <w:b/>
                <w:i w:val="false"/>
                <w:caps w:val="false"/>
                <w:smallCaps w:val="false"/>
                <w:sz w:val="20"/>
              </w:rPr>
            </w:pPr>
            <w:bookmarkStart w:id="10" w:name="xdx_909_edei--EntityAddressCityOrTown_c2"/>
            <w:bookmarkEnd w:id="10"/>
            <w:r>
              <w:rPr>
                <w:rFonts w:ascii="Times New Roman;Times;Serif" w:hAnsi="Times New Roman;Times;Serif"/>
                <w:b/>
                <w:i w:val="false"/>
                <w:caps w:val="false"/>
                <w:smallCaps w:val="false"/>
                <w:sz w:val="20"/>
              </w:rPr>
              <w:t xml:space="preserve">Burlingame, </w:t>
            </w:r>
            <w:bookmarkStart w:id="11" w:name="xdx_90D_edei--EntityAddressStateOrProvin"/>
            <w:bookmarkEnd w:id="11"/>
            <w:r>
              <w:rPr>
                <w:rFonts w:ascii="Times New Roman;Times;Serif" w:hAnsi="Times New Roman;Times;Serif"/>
                <w:b/>
                <w:i w:val="false"/>
                <w:caps w:val="false"/>
                <w:smallCaps w:val="false"/>
                <w:sz w:val="20"/>
              </w:rPr>
              <w:t>California</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935" w:type="dxa"/>
            <w:tcBorders/>
            <w:vAlign w:val="center"/>
          </w:tcPr>
          <w:p>
            <w:pPr>
              <w:pStyle w:val="TableContents"/>
              <w:bidi w:val="0"/>
              <w:spacing w:before="0" w:after="283"/>
              <w:jc w:val="center"/>
              <w:rPr>
                <w:rFonts w:ascii="Times New Roman;Times;Serif" w:hAnsi="Times New Roman;Times;Serif"/>
                <w:b/>
                <w:i w:val="false"/>
                <w:caps w:val="false"/>
                <w:smallCaps w:val="false"/>
                <w:sz w:val="20"/>
              </w:rPr>
            </w:pPr>
            <w:bookmarkStart w:id="12" w:name="xdx_902_edei--EntityAddressPostalZipCode"/>
            <w:bookmarkEnd w:id="12"/>
            <w:r>
              <w:rPr>
                <w:rFonts w:ascii="Times New Roman;Times;Serif" w:hAnsi="Times New Roman;Times;Serif"/>
                <w:b/>
                <w:i w:val="false"/>
                <w:caps w:val="false"/>
                <w:smallCaps w:val="false"/>
                <w:sz w:val="20"/>
              </w:rPr>
              <w:t>94010</w:t>
            </w:r>
          </w:p>
        </w:tc>
      </w:tr>
      <w:tr>
        <w:trPr/>
        <w:tc>
          <w:tcPr>
            <w:tcW w:w="3395" w:type="dxa"/>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(Address of Principal Executive Offices)</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935" w:type="dxa"/>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(Zip Code)</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Registrant’s Telephone Number, Including Area Code: </w:t>
      </w:r>
      <w:bookmarkStart w:id="13" w:name="xdx_907_edei--CityAreaCode_c20260629__20"/>
      <w:bookmarkEnd w:id="13"/>
      <w:r>
        <w:rPr>
          <w:rFonts w:ascii="Times New Roman;Times;Serif" w:hAnsi="Times New Roman;Times;Serif"/>
          <w:b/>
          <w:i w:val="false"/>
          <w:caps w:val="false"/>
          <w:smallCaps w:val="false"/>
          <w:sz w:val="20"/>
        </w:rPr>
        <w:t xml:space="preserve">(347) </w:t>
      </w:r>
      <w:bookmarkStart w:id="14" w:name="xdx_903_edei--LocalPhoneNumber_c20260629"/>
      <w:bookmarkEnd w:id="14"/>
      <w:r>
        <w:rPr>
          <w:rFonts w:ascii="Times New Roman;Times;Serif" w:hAnsi="Times New Roman;Times;Serif"/>
          <w:b/>
          <w:i w:val="false"/>
          <w:caps w:val="false"/>
          <w:smallCaps w:val="false"/>
          <w:sz w:val="20"/>
        </w:rPr>
        <w:t>745-6448</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(Former Name or Former Address, if Changed Since Last Report)</w:t>
      </w:r>
    </w:p>
    <w:p>
      <w:pPr>
        <w:pStyle w:val="TextBody"/>
        <w:bidi w:val="0"/>
        <w:spacing w:before="0" w:after="0"/>
        <w:ind w:left="0" w:right="0" w:hanging="0"/>
        <w:jc w:val="center"/>
        <w:rPr>
          <w:caps w:val="false"/>
          <w:smallCaps w:val="false"/>
        </w:rPr>
      </w:pPr>
      <w:r>
        <w:rPr>
          <w:caps w:val="false"/>
          <w:smallCaps w:val="false"/>
        </w:rPr>
        <w:t> </w:t>
      </w:r>
    </w:p>
    <w:p>
      <w:pPr>
        <w:pStyle w:val="TextBody"/>
        <w:bidi w:val="0"/>
        <w:ind w:left="0" w:right="0" w:hanging="0"/>
        <w:jc w:val="left"/>
        <w:rPr>
          <w:bdr w:val="single" w:sz="8" w:space="1" w:color="000000"/>
        </w:rPr>
      </w:pPr>
      <w:r>
        <w:rPr>
          <w:bdr w:val="single" w:sz="8" w:space="1" w:color="000000"/>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Check the appropriate box below if the Form 8-K filing is intended to simultaneously satisfy the filing obligation of the registrant under any of the following provisions:</w:t>
      </w:r>
    </w:p>
    <w:p>
      <w:pPr>
        <w:pStyle w:val="TextBody"/>
        <w:bidi w:val="0"/>
        <w:spacing w:before="0" w:after="0"/>
        <w:ind w:left="0" w:right="0" w:hanging="0"/>
        <w:jc w:val="center"/>
        <w:rPr>
          <w:caps w:val="false"/>
          <w:smallCaps w:val="false"/>
        </w:rPr>
      </w:pPr>
      <w:r>
        <w:rPr>
          <w:caps w:val="false"/>
          <w:smallCaps w:val="false"/>
        </w:rPr>
        <w:t> </w:t>
      </w:r>
    </w:p>
    <w:tbl>
      <w:tblPr>
        <w:tblW w:w="9310" w:type="dxa"/>
        <w:jc w:val="left"/>
        <w:tblInd w:w="0" w:type="dxa"/>
        <w:tblLayout w:type="fixed"/>
        <w:tblCellMar>
          <w:top w:w="0" w:type="dxa"/>
          <w:left w:w="0" w:type="dxa"/>
          <w:bottom w:w="0" w:type="dxa"/>
          <w:right w:w="0" w:type="dxa"/>
        </w:tblCellMar>
      </w:tblPr>
      <w:tblGrid>
        <w:gridCol w:w="245"/>
        <w:gridCol w:w="9065"/>
      </w:tblGrid>
      <w:tr>
        <w:trPr/>
        <w:tc>
          <w:tcPr>
            <w:tcW w:w="245" w:type="dxa"/>
            <w:tcBorders/>
            <w:vAlign w:val="center"/>
          </w:tcPr>
          <w:p>
            <w:pPr>
              <w:pStyle w:val="TableContents"/>
              <w:bidi w:val="0"/>
              <w:spacing w:before="0" w:after="283"/>
              <w:jc w:val="left"/>
              <w:rPr>
                <w:caps w:val="false"/>
                <w:smallCaps w:val="false"/>
              </w:rPr>
            </w:pPr>
            <w:bookmarkStart w:id="15" w:name="xdx_907_edei--WrittenCommunications_c202"/>
            <w:bookmarkEnd w:id="15"/>
            <w:r>
              <w:rPr>
                <w:caps w:val="false"/>
                <w:smallCaps w:val="false"/>
              </w:rPr>
              <w:t>☐</w:t>
            </w:r>
          </w:p>
        </w:tc>
        <w:tc>
          <w:tcPr>
            <w:tcW w:w="906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Written communications pursuant to Rule 425 under the Securities Act (17 CFR 230.425)</w:t>
            </w:r>
          </w:p>
        </w:tc>
      </w:tr>
      <w:tr>
        <w:trPr/>
        <w:tc>
          <w:tcPr>
            <w:tcW w:w="245" w:type="dxa"/>
            <w:tcBorders/>
            <w:vAlign w:val="center"/>
          </w:tcPr>
          <w:p>
            <w:pPr>
              <w:pStyle w:val="TableContents"/>
              <w:bidi w:val="0"/>
              <w:spacing w:before="0" w:after="283"/>
              <w:jc w:val="left"/>
              <w:rPr>
                <w:caps w:val="false"/>
                <w:smallCaps w:val="false"/>
              </w:rPr>
            </w:pPr>
            <w:r>
              <w:rPr>
                <w:caps w:val="false"/>
                <w:smallCaps w:val="false"/>
              </w:rPr>
              <w:t> </w:t>
            </w:r>
          </w:p>
        </w:tc>
        <w:tc>
          <w:tcPr>
            <w:tcW w:w="906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245" w:type="dxa"/>
            <w:tcBorders/>
            <w:vAlign w:val="center"/>
          </w:tcPr>
          <w:p>
            <w:pPr>
              <w:pStyle w:val="TableContents"/>
              <w:bidi w:val="0"/>
              <w:spacing w:before="0" w:after="283"/>
              <w:jc w:val="left"/>
              <w:rPr>
                <w:caps w:val="false"/>
                <w:smallCaps w:val="false"/>
              </w:rPr>
            </w:pPr>
            <w:bookmarkStart w:id="16" w:name="xdx_906_edei--SolicitingMaterial_c202606"/>
            <w:bookmarkEnd w:id="16"/>
            <w:r>
              <w:rPr>
                <w:caps w:val="false"/>
                <w:smallCaps w:val="false"/>
              </w:rPr>
              <w:t>☐</w:t>
            </w:r>
          </w:p>
        </w:tc>
        <w:tc>
          <w:tcPr>
            <w:tcW w:w="906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Soliciting material pursuant to Rule 14a-12 under the Exchange Act (17 CFR 240.14a-12)</w:t>
            </w:r>
          </w:p>
        </w:tc>
      </w:tr>
      <w:tr>
        <w:trPr/>
        <w:tc>
          <w:tcPr>
            <w:tcW w:w="245" w:type="dxa"/>
            <w:tcBorders/>
            <w:vAlign w:val="center"/>
          </w:tcPr>
          <w:p>
            <w:pPr>
              <w:pStyle w:val="TableContents"/>
              <w:bidi w:val="0"/>
              <w:spacing w:before="0" w:after="283"/>
              <w:jc w:val="left"/>
              <w:rPr>
                <w:caps w:val="false"/>
                <w:smallCaps w:val="false"/>
              </w:rPr>
            </w:pPr>
            <w:r>
              <w:rPr>
                <w:caps w:val="false"/>
                <w:smallCaps w:val="false"/>
              </w:rPr>
              <w:t> </w:t>
            </w:r>
          </w:p>
        </w:tc>
        <w:tc>
          <w:tcPr>
            <w:tcW w:w="906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245" w:type="dxa"/>
            <w:tcBorders/>
            <w:vAlign w:val="center"/>
          </w:tcPr>
          <w:p>
            <w:pPr>
              <w:pStyle w:val="TableContents"/>
              <w:bidi w:val="0"/>
              <w:spacing w:before="0" w:after="283"/>
              <w:jc w:val="left"/>
              <w:rPr>
                <w:caps w:val="false"/>
                <w:smallCaps w:val="false"/>
              </w:rPr>
            </w:pPr>
            <w:bookmarkStart w:id="17" w:name="xdx_90C_edei--PreCommencementTenderOffer"/>
            <w:bookmarkEnd w:id="17"/>
            <w:r>
              <w:rPr>
                <w:caps w:val="false"/>
                <w:smallCaps w:val="false"/>
              </w:rPr>
              <w:t>☐</w:t>
            </w:r>
          </w:p>
        </w:tc>
        <w:tc>
          <w:tcPr>
            <w:tcW w:w="906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Pre-commencement communications pursuant to Rule 14d-2(b) under the Exchange Act (17 CFR 240.14d-2(b))</w:t>
            </w:r>
          </w:p>
        </w:tc>
      </w:tr>
      <w:tr>
        <w:trPr/>
        <w:tc>
          <w:tcPr>
            <w:tcW w:w="245" w:type="dxa"/>
            <w:tcBorders/>
            <w:vAlign w:val="center"/>
          </w:tcPr>
          <w:p>
            <w:pPr>
              <w:pStyle w:val="TableContents"/>
              <w:bidi w:val="0"/>
              <w:spacing w:before="0" w:after="283"/>
              <w:jc w:val="left"/>
              <w:rPr>
                <w:caps w:val="false"/>
                <w:smallCaps w:val="false"/>
              </w:rPr>
            </w:pPr>
            <w:r>
              <w:rPr>
                <w:caps w:val="false"/>
                <w:smallCaps w:val="false"/>
              </w:rPr>
              <w:t> </w:t>
            </w:r>
          </w:p>
        </w:tc>
        <w:tc>
          <w:tcPr>
            <w:tcW w:w="906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245" w:type="dxa"/>
            <w:tcBorders/>
            <w:vAlign w:val="center"/>
          </w:tcPr>
          <w:p>
            <w:pPr>
              <w:pStyle w:val="TableContents"/>
              <w:bidi w:val="0"/>
              <w:spacing w:before="0" w:after="283"/>
              <w:jc w:val="left"/>
              <w:rPr>
                <w:caps w:val="false"/>
                <w:smallCaps w:val="false"/>
              </w:rPr>
            </w:pPr>
            <w:bookmarkStart w:id="18" w:name="xdx_909_edei--PreCommencementIssuerTende"/>
            <w:bookmarkEnd w:id="18"/>
            <w:r>
              <w:rPr>
                <w:caps w:val="false"/>
                <w:smallCaps w:val="false"/>
              </w:rPr>
              <w:t>☐</w:t>
            </w:r>
          </w:p>
        </w:tc>
        <w:tc>
          <w:tcPr>
            <w:tcW w:w="906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Pre-commencement communications pursuant to Rule 13e-4(c) under the Exchange Act (17 CFR 240.13e-4(c))</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Securities registered pursuant to Section 12(b) of the Act:</w:t>
      </w:r>
    </w:p>
    <w:p>
      <w:pPr>
        <w:pStyle w:val="TextBody"/>
        <w:bidi w:val="0"/>
        <w:spacing w:before="0" w:after="0"/>
        <w:ind w:left="0" w:right="0" w:hanging="0"/>
        <w:jc w:val="center"/>
        <w:rPr>
          <w:caps w:val="false"/>
          <w:smallCaps w:val="false"/>
        </w:rPr>
      </w:pPr>
      <w:r>
        <w:rPr>
          <w:caps w:val="false"/>
          <w:smallCaps w:val="false"/>
        </w:rPr>
        <w:t> </w:t>
      </w:r>
    </w:p>
    <w:tbl>
      <w:tblPr>
        <w:tblW w:w="10205" w:type="dxa"/>
        <w:jc w:val="left"/>
        <w:tblInd w:w="0" w:type="dxa"/>
        <w:tblLayout w:type="fixed"/>
        <w:tblCellMar>
          <w:top w:w="0" w:type="dxa"/>
          <w:left w:w="0" w:type="dxa"/>
          <w:bottom w:w="28" w:type="dxa"/>
          <w:right w:w="0" w:type="dxa"/>
        </w:tblCellMar>
      </w:tblPr>
      <w:tblGrid>
        <w:gridCol w:w="5946"/>
        <w:gridCol w:w="60"/>
        <w:gridCol w:w="1327"/>
        <w:gridCol w:w="60"/>
        <w:gridCol w:w="2812"/>
      </w:tblGrid>
      <w:tr>
        <w:trPr/>
        <w:tc>
          <w:tcPr>
            <w:tcW w:w="5946" w:type="dxa"/>
            <w:tcBorders>
              <w:bottom w:val="single" w:sz="8"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Title of each class</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327" w:type="dxa"/>
            <w:tcBorders>
              <w:bottom w:val="single" w:sz="8"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Trading Symbol(s)</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2812" w:type="dxa"/>
            <w:tcBorders>
              <w:bottom w:val="single" w:sz="8"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Name of each exchange on which registered</w:t>
            </w:r>
          </w:p>
        </w:tc>
      </w:tr>
      <w:tr>
        <w:trPr/>
        <w:tc>
          <w:tcPr>
            <w:tcW w:w="5946"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bookmarkStart w:id="19" w:name="xdx_909_edei--Security12bTitle_c20260629"/>
            <w:bookmarkEnd w:id="19"/>
            <w:r>
              <w:rPr>
                <w:rFonts w:ascii="Times New Roman;Times;Serif" w:hAnsi="Times New Roman;Times;Serif"/>
                <w:b w:val="false"/>
                <w:i w:val="false"/>
                <w:caps w:val="false"/>
                <w:smallCaps w:val="false"/>
                <w:sz w:val="20"/>
              </w:rPr>
              <w:t>Ordinary Shares, par value $0.0001 per share</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327"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bookmarkStart w:id="20" w:name="xdx_90C_edei--TradingSymbol_c20260629__2"/>
            <w:bookmarkEnd w:id="20"/>
            <w:r>
              <w:rPr>
                <w:rFonts w:ascii="Times New Roman;Times;Serif" w:hAnsi="Times New Roman;Times;Serif"/>
                <w:b w:val="false"/>
                <w:i w:val="false"/>
                <w:caps w:val="false"/>
                <w:smallCaps w:val="false"/>
                <w:sz w:val="20"/>
              </w:rPr>
              <w:t>RDZN</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2812"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bookmarkStart w:id="21" w:name="xdx_903_edei--SecurityExchangeName_c2026"/>
            <w:bookmarkEnd w:id="21"/>
            <w:r>
              <w:rPr>
                <w:rFonts w:ascii="Times New Roman;Times;Serif" w:hAnsi="Times New Roman;Times;Serif"/>
                <w:b w:val="false"/>
                <w:i w:val="false"/>
                <w:caps w:val="false"/>
                <w:smallCaps w:val="false"/>
                <w:sz w:val="20"/>
              </w:rPr>
              <w:t>The Nasdaq Stock Market LLC</w:t>
            </w:r>
          </w:p>
        </w:tc>
      </w:tr>
      <w:tr>
        <w:trPr/>
        <w:tc>
          <w:tcPr>
            <w:tcW w:w="5946"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bookmarkStart w:id="22" w:name="xdx_90C_edei--Security12bTitle_c20260629"/>
            <w:bookmarkEnd w:id="22"/>
            <w:r>
              <w:rPr>
                <w:rFonts w:ascii="Times New Roman;Times;Serif" w:hAnsi="Times New Roman;Times;Serif"/>
                <w:b w:val="false"/>
                <w:i w:val="false"/>
                <w:caps w:val="false"/>
                <w:smallCaps w:val="false"/>
                <w:sz w:val="20"/>
              </w:rPr>
              <w:t>Warrants, each warrant exercisable for one ordinary share, each at an exercise price of $11.50 per share</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327"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bookmarkStart w:id="23" w:name="xdx_907_edei--TradingSymbol_c20260629__2"/>
            <w:bookmarkEnd w:id="23"/>
            <w:r>
              <w:rPr>
                <w:rFonts w:ascii="Times New Roman;Times;Serif" w:hAnsi="Times New Roman;Times;Serif"/>
                <w:b w:val="false"/>
                <w:i w:val="false"/>
                <w:caps w:val="false"/>
                <w:smallCaps w:val="false"/>
                <w:sz w:val="20"/>
              </w:rPr>
              <w:t>RDZNW</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2812"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bookmarkStart w:id="24" w:name="xdx_902_edei--SecurityExchangeName_c2026"/>
            <w:bookmarkEnd w:id="24"/>
            <w:r>
              <w:rPr>
                <w:rFonts w:ascii="Times New Roman;Times;Serif" w:hAnsi="Times New Roman;Times;Serif"/>
                <w:b w:val="false"/>
                <w:i w:val="false"/>
                <w:caps w:val="false"/>
                <w:smallCaps w:val="false"/>
                <w:sz w:val="20"/>
              </w:rPr>
              <w:t>The Nasdaq Stock Market LLC</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Indicate by check mark whether the registrant is an emerging growth company as defined in Rule 405 of the Securities Act of 1933 (§ 230.405 of this chapter) or Rule 12b-2 of the Securities Exchange Act of 1934 (§ 240.12b-2 of this chapter).</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Emerging growth company </w:t>
      </w:r>
      <w:bookmarkStart w:id="25" w:name="xdx_907_edei--EntityEmergingGrowthCompan"/>
      <w:bookmarkEnd w:id="25"/>
      <w:r>
        <w:rPr>
          <w:rFonts w:ascii="Times New Roman;Times;Serif" w:hAnsi="Times New Roman;Times;Serif"/>
          <w:b w:val="false"/>
          <w:i w:val="false"/>
          <w:caps w:val="false"/>
          <w:smallCaps w:val="false"/>
          <w:sz w:val="20"/>
        </w:rPr>
        <w:t>☒</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If an emerging growth company, indicate by check mark if the registrant has elected not to use the extended transition period for complying with any new or revised financial accounting standards provided pursuant to Section 13(a) of the Exchange Act. </w:t>
      </w:r>
      <w:bookmarkStart w:id="26" w:name="xdx_905_edei--EntityExTransitionPeriod_c"/>
      <w:bookmarkEnd w:id="26"/>
      <w:r>
        <w:rPr>
          <w:rFonts w:ascii="Times New Roman;Times;Serif" w:hAnsi="Times New Roman;Times;Serif"/>
          <w:b w:val="false"/>
          <w:i w:val="false"/>
          <w:caps w:val="false"/>
          <w:smallCaps w:val="false"/>
          <w:sz w:val="20"/>
        </w:rPr>
        <w:t>☐</w:t>
      </w:r>
    </w:p>
    <w:p>
      <w:pPr>
        <w:pStyle w:val="TextBody"/>
        <w:bidi w:val="0"/>
        <w:spacing w:before="0" w:after="0"/>
        <w:jc w:val="center"/>
        <w:rPr>
          <w:caps w:val="false"/>
          <w:smallCaps w:val="false"/>
        </w:rPr>
      </w:pPr>
      <w:r>
        <w:rPr>
          <w:caps w:val="false"/>
          <w:smallCaps w:val="false"/>
        </w:rPr>
        <w:t> </w:t>
      </w:r>
    </w:p>
    <w:p>
      <w:pPr>
        <w:pStyle w:val="TextBody"/>
        <w:bidi w:val="0"/>
        <w:jc w:val="left"/>
        <w:rPr>
          <w:bdr w:val="single" w:sz="8" w:space="1" w:color="000000"/>
        </w:rPr>
      </w:pPr>
      <w:r>
        <w:rPr>
          <w:bdr w:val="single" w:sz="8" w:space="1" w:color="000000"/>
        </w:rPr>
        <w:t> </w:t>
      </w:r>
    </w:p>
    <w:p>
      <w:pPr>
        <w:pStyle w:val="TextBody"/>
        <w:bidi w:val="0"/>
        <w:spacing w:before="0" w:after="0"/>
        <w:jc w:val="center"/>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right"/>
              <w:rPr/>
            </w:pPr>
            <w:r>
              <w:rPr/>
              <w:t> </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right"/>
              <w:rPr/>
            </w:pPr>
            <w:r>
              <w:rPr/>
              <w:t> </w:t>
            </w:r>
          </w:p>
        </w:tc>
      </w:tr>
    </w:tbl>
    <w:p>
      <w:pPr>
        <w:pStyle w:val="TextBody"/>
        <w:bidi w:val="0"/>
        <w:spacing w:before="0" w:after="0"/>
        <w:jc w:val="center"/>
        <w:rPr>
          <w:caps w:val="false"/>
          <w:smallCaps w:val="false"/>
        </w:rPr>
      </w:pPr>
      <w:r>
        <w:rPr>
          <w:caps w:val="false"/>
          <w:smallCaps w:val="false"/>
        </w:rPr>
        <w:t> </w:t>
      </w:r>
    </w:p>
    <w:p>
      <w:pPr>
        <w:pStyle w:val="TextBody"/>
        <w:shd w:fill="FFFFFF" w:val="clear"/>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Item 2.02 Results of Operations and Financial Condition.</w:t>
      </w:r>
    </w:p>
    <w:p>
      <w:pPr>
        <w:pStyle w:val="TextBody"/>
        <w:shd w:fill="FFFFFF" w:val="clear"/>
        <w:bidi w:val="0"/>
        <w:spacing w:before="0" w:after="0"/>
        <w:ind w:left="0" w:right="0" w:hanging="0"/>
        <w:jc w:val="center"/>
        <w:rPr>
          <w:caps w:val="false"/>
          <w:smallCaps w:val="false"/>
        </w:rPr>
      </w:pPr>
      <w:r>
        <w:rPr>
          <w:caps w:val="false"/>
          <w:smallCaps w:val="false"/>
        </w:rPr>
        <w:t> </w:t>
      </w:r>
    </w:p>
    <w:p>
      <w:pPr>
        <w:pStyle w:val="TextBody"/>
        <w:shd w:fill="FFFFFF" w:val="clear"/>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June 29, 2026, Roadzen Inc. (the “Company”) issued a press release announcing its financial results for the fourth quarter and fiscal year ended March 31, 2026. A copy of the press release is attached hereto as Exhibit 99.1 and is incorporated herein by reference.</w:t>
      </w:r>
    </w:p>
    <w:p>
      <w:pPr>
        <w:pStyle w:val="TextBody"/>
        <w:shd w:fill="FFFFFF" w:val="clear"/>
        <w:bidi w:val="0"/>
        <w:spacing w:before="0" w:after="0"/>
        <w:ind w:left="0" w:right="0" w:hanging="0"/>
        <w:jc w:val="center"/>
        <w:rPr>
          <w:caps w:val="false"/>
          <w:smallCaps w:val="false"/>
        </w:rPr>
      </w:pPr>
      <w:r>
        <w:rPr>
          <w:caps w:val="false"/>
          <w:smallCaps w:val="false"/>
        </w:rPr>
        <w:t> </w:t>
      </w:r>
    </w:p>
    <w:p>
      <w:pPr>
        <w:pStyle w:val="TextBody"/>
        <w:shd w:fill="FFFFFF" w:val="clear"/>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information is intended to be furnished under Item 2.02 of Form 8-K, “Results of Operations and Financial Condition” and shall not be deemed “filed” for purposes of Section 18 of the Securities Exchange Act of 1934, as amended (the “Exchange Act”), or incorporated by reference in any filing under the Securities Act of 1933, as amended, or the Exchange Act, except as shall be expressly set forth by specific reference in such a filing.</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Item 9.01 Financial Statements and Exhibits.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Exhibits.</w:t>
      </w:r>
    </w:p>
    <w:p>
      <w:pPr>
        <w:pStyle w:val="TextBody"/>
        <w:bidi w:val="0"/>
        <w:spacing w:before="0" w:after="0"/>
        <w:ind w:left="0" w:right="0" w:hanging="0"/>
        <w:jc w:val="center"/>
        <w:rPr>
          <w:caps w:val="false"/>
          <w:smallCaps w:val="false"/>
        </w:rPr>
      </w:pPr>
      <w:r>
        <w:rPr>
          <w:caps w:val="false"/>
          <w:smallCaps w:val="false"/>
        </w:rPr>
        <w:t> </w:t>
      </w:r>
    </w:p>
    <w:tbl>
      <w:tblPr>
        <w:tblW w:w="7915" w:type="dxa"/>
        <w:jc w:val="left"/>
        <w:tblInd w:w="0" w:type="dxa"/>
        <w:tblLayout w:type="fixed"/>
        <w:tblCellMar>
          <w:top w:w="0" w:type="dxa"/>
          <w:left w:w="0" w:type="dxa"/>
          <w:bottom w:w="28" w:type="dxa"/>
          <w:right w:w="0" w:type="dxa"/>
        </w:tblCellMar>
      </w:tblPr>
      <w:tblGrid>
        <w:gridCol w:w="1400"/>
        <w:gridCol w:w="60"/>
        <w:gridCol w:w="6455"/>
      </w:tblGrid>
      <w:tr>
        <w:trPr/>
        <w:tc>
          <w:tcPr>
            <w:tcW w:w="1400" w:type="dxa"/>
            <w:tcBorders>
              <w:bottom w:val="single" w:sz="8" w:space="0" w:color="000000"/>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Number</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455" w:type="dxa"/>
            <w:tcBorders>
              <w:bottom w:val="single" w:sz="8" w:space="0" w:color="000000"/>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Description of Exhibit </w:t>
            </w:r>
          </w:p>
        </w:tc>
      </w:tr>
      <w:tr>
        <w:trPr/>
        <w:tc>
          <w:tcPr>
            <w:tcW w:w="140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455"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r>
      <w:tr>
        <w:trPr/>
        <w:tc>
          <w:tcPr>
            <w:tcW w:w="1400"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99.1</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455" w:type="dxa"/>
            <w:tcBorders/>
            <w:tcMar>
              <w:bottom w:w="0" w:type="dxa"/>
            </w:tcMar>
            <w:vAlign w:val="center"/>
          </w:tcPr>
          <w:p>
            <w:pPr>
              <w:pStyle w:val="TableContents"/>
              <w:bidi w:val="0"/>
              <w:spacing w:before="0" w:after="283"/>
              <w:jc w:val="left"/>
              <w:rPr/>
            </w:pPr>
            <w:hyperlink w:anchor="ex99-1.htm">
              <w:r>
                <w:rPr>
                  <w:rStyle w:val="InternetLink"/>
                  <w:rFonts w:ascii="Times New Roman;Times;Serif" w:hAnsi="Times New Roman;Times;Serif"/>
                  <w:b w:val="false"/>
                  <w:i w:val="false"/>
                  <w:caps w:val="false"/>
                  <w:smallCaps w:val="false"/>
                  <w:sz w:val="20"/>
                </w:rPr>
                <w:t>Press release issued on June 29, 2026.</w:t>
              </w:r>
            </w:hyperlink>
          </w:p>
        </w:tc>
      </w:tr>
      <w:tr>
        <w:trPr/>
        <w:tc>
          <w:tcPr>
            <w:tcW w:w="1400"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104</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455" w:type="dxa"/>
            <w:tcBorders/>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Cover page interactive data file (embedded within the Inline XBRL document).</w:t>
            </w:r>
          </w:p>
        </w:tc>
      </w:tr>
    </w:tbl>
    <w:p>
      <w:pPr>
        <w:pStyle w:val="TextBody"/>
        <w:bidi w:val="0"/>
        <w:spacing w:before="0" w:after="0"/>
        <w:ind w:left="0" w:right="0" w:hanging="0"/>
        <w:jc w:val="center"/>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right"/>
              <w:rPr/>
            </w:pPr>
            <w:r>
              <w:rPr/>
              <w:t> </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SIGNATURES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requirements of the Securities Exchange Act of 1934, the registrant has duly caused this report to be signed on its behalf by the undersigned hereunto duly authorized.</w:t>
      </w:r>
    </w:p>
    <w:p>
      <w:pPr>
        <w:pStyle w:val="TextBody"/>
        <w:bidi w:val="0"/>
        <w:spacing w:before="0" w:after="0"/>
        <w:ind w:left="0" w:right="0" w:hanging="0"/>
        <w:jc w:val="center"/>
        <w:rPr>
          <w:caps w:val="false"/>
          <w:smallCaps w:val="false"/>
        </w:rPr>
      </w:pPr>
      <w:r>
        <w:rPr>
          <w:caps w:val="false"/>
          <w:smallCaps w:val="false"/>
        </w:rPr>
        <w:t> </w:t>
      </w:r>
    </w:p>
    <w:tbl>
      <w:tblPr>
        <w:tblW w:w="3950" w:type="dxa"/>
        <w:jc w:val="left"/>
        <w:tblInd w:w="0" w:type="dxa"/>
        <w:tblLayout w:type="fixed"/>
        <w:tblCellMar>
          <w:top w:w="0" w:type="dxa"/>
          <w:left w:w="0" w:type="dxa"/>
          <w:bottom w:w="0" w:type="dxa"/>
          <w:right w:w="0" w:type="dxa"/>
        </w:tblCellMar>
      </w:tblPr>
      <w:tblGrid>
        <w:gridCol w:w="470"/>
        <w:gridCol w:w="1025"/>
        <w:gridCol w:w="545"/>
        <w:gridCol w:w="1910"/>
      </w:tblGrid>
      <w:tr>
        <w:trPr/>
        <w:tc>
          <w:tcPr>
            <w:tcW w:w="470" w:type="dxa"/>
            <w:tcBorders/>
            <w:vAlign w:val="center"/>
          </w:tcPr>
          <w:p>
            <w:pPr>
              <w:pStyle w:val="TableContents"/>
              <w:bidi w:val="0"/>
              <w:spacing w:before="0" w:after="283"/>
              <w:jc w:val="left"/>
              <w:rPr>
                <w:caps w:val="false"/>
                <w:smallCaps w:val="false"/>
              </w:rPr>
            </w:pPr>
            <w:r>
              <w:rPr>
                <w:caps w:val="false"/>
                <w:smallCaps w:val="false"/>
              </w:rPr>
              <w:t> </w:t>
            </w:r>
          </w:p>
        </w:tc>
        <w:tc>
          <w:tcPr>
            <w:tcW w:w="1025" w:type="dxa"/>
            <w:tcBorders/>
            <w:vAlign w:val="center"/>
          </w:tcPr>
          <w:p>
            <w:pPr>
              <w:pStyle w:val="TableContents"/>
              <w:bidi w:val="0"/>
              <w:spacing w:before="0" w:after="283"/>
              <w:jc w:val="left"/>
              <w:rPr>
                <w:caps w:val="false"/>
                <w:smallCaps w:val="false"/>
              </w:rPr>
            </w:pPr>
            <w:r>
              <w:rPr>
                <w:caps w:val="false"/>
                <w:smallCaps w:val="false"/>
              </w:rPr>
              <w:t> </w:t>
            </w:r>
          </w:p>
        </w:tc>
        <w:tc>
          <w:tcPr>
            <w:tcW w:w="2455" w:type="dxa"/>
            <w:gridSpan w:val="2"/>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ROADZEN INC.</w:t>
            </w:r>
          </w:p>
        </w:tc>
      </w:tr>
      <w:tr>
        <w:trPr/>
        <w:tc>
          <w:tcPr>
            <w:tcW w:w="470" w:type="dxa"/>
            <w:tcBorders/>
            <w:vAlign w:val="center"/>
          </w:tcPr>
          <w:p>
            <w:pPr>
              <w:pStyle w:val="TableContents"/>
              <w:bidi w:val="0"/>
              <w:spacing w:before="0" w:after="283"/>
              <w:jc w:val="left"/>
              <w:rPr>
                <w:caps w:val="false"/>
                <w:smallCaps w:val="false"/>
              </w:rPr>
            </w:pPr>
            <w:r>
              <w:rPr>
                <w:caps w:val="false"/>
                <w:smallCaps w:val="false"/>
              </w:rPr>
              <w:t> </w:t>
            </w:r>
          </w:p>
        </w:tc>
        <w:tc>
          <w:tcPr>
            <w:tcW w:w="1025" w:type="dxa"/>
            <w:tcBorders/>
            <w:vAlign w:val="center"/>
          </w:tcPr>
          <w:p>
            <w:pPr>
              <w:pStyle w:val="TableContents"/>
              <w:bidi w:val="0"/>
              <w:spacing w:before="0" w:after="283"/>
              <w:jc w:val="left"/>
              <w:rPr>
                <w:caps w:val="false"/>
                <w:smallCaps w:val="false"/>
              </w:rPr>
            </w:pPr>
            <w:r>
              <w:rPr>
                <w:caps w:val="false"/>
                <w:smallCaps w:val="false"/>
              </w:rPr>
              <w:t> </w:t>
            </w:r>
          </w:p>
        </w:tc>
        <w:tc>
          <w:tcPr>
            <w:tcW w:w="545" w:type="dxa"/>
            <w:tcBorders/>
            <w:vAlign w:val="center"/>
          </w:tcPr>
          <w:p>
            <w:pPr>
              <w:pStyle w:val="TableContents"/>
              <w:bidi w:val="0"/>
              <w:spacing w:before="0" w:after="283"/>
              <w:jc w:val="left"/>
              <w:rPr>
                <w:caps w:val="false"/>
                <w:smallCaps w:val="false"/>
              </w:rPr>
            </w:pPr>
            <w:r>
              <w:rPr>
                <w:caps w:val="false"/>
                <w:smallCaps w:val="false"/>
              </w:rPr>
              <w:t> </w:t>
            </w:r>
          </w:p>
        </w:tc>
        <w:tc>
          <w:tcPr>
            <w:tcW w:w="1910"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47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Date:</w:t>
            </w:r>
          </w:p>
        </w:tc>
        <w:tc>
          <w:tcPr>
            <w:tcW w:w="102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July 6, 2026</w:t>
            </w:r>
          </w:p>
        </w:tc>
        <w:tc>
          <w:tcPr>
            <w:tcW w:w="54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w:t>
            </w:r>
          </w:p>
        </w:tc>
        <w:tc>
          <w:tcPr>
            <w:tcW w:w="1910"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 Jean-Noël Gallardo</w:t>
            </w:r>
          </w:p>
        </w:tc>
      </w:tr>
      <w:tr>
        <w:trPr/>
        <w:tc>
          <w:tcPr>
            <w:tcW w:w="470" w:type="dxa"/>
            <w:tcBorders/>
            <w:vAlign w:val="center"/>
          </w:tcPr>
          <w:p>
            <w:pPr>
              <w:pStyle w:val="TableContents"/>
              <w:bidi w:val="0"/>
              <w:spacing w:before="0" w:after="283"/>
              <w:jc w:val="left"/>
              <w:rPr>
                <w:caps w:val="false"/>
                <w:smallCaps w:val="false"/>
              </w:rPr>
            </w:pPr>
            <w:r>
              <w:rPr>
                <w:caps w:val="false"/>
                <w:smallCaps w:val="false"/>
              </w:rPr>
              <w:t> </w:t>
            </w:r>
          </w:p>
        </w:tc>
        <w:tc>
          <w:tcPr>
            <w:tcW w:w="1025" w:type="dxa"/>
            <w:tcBorders/>
            <w:vAlign w:val="center"/>
          </w:tcPr>
          <w:p>
            <w:pPr>
              <w:pStyle w:val="TableContents"/>
              <w:bidi w:val="0"/>
              <w:spacing w:before="0" w:after="283"/>
              <w:jc w:val="left"/>
              <w:rPr>
                <w:caps w:val="false"/>
                <w:smallCaps w:val="false"/>
              </w:rPr>
            </w:pPr>
            <w:r>
              <w:rPr>
                <w:caps w:val="false"/>
                <w:smallCaps w:val="false"/>
              </w:rPr>
              <w:t> </w:t>
            </w:r>
          </w:p>
        </w:tc>
        <w:tc>
          <w:tcPr>
            <w:tcW w:w="545" w:type="dxa"/>
            <w:tcBorders/>
            <w:vAlign w:val="center"/>
          </w:tcPr>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Title:</w:t>
            </w:r>
          </w:p>
        </w:tc>
        <w:tc>
          <w:tcPr>
            <w:tcW w:w="1910" w:type="dxa"/>
            <w:tcBorders/>
            <w:vAlign w:val="center"/>
          </w:tcPr>
          <w:p>
            <w:pPr>
              <w:pStyle w:val="TableContents"/>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Jean-Noël Gallardo</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Chief Financial Officer</w:t>
            </w:r>
          </w:p>
        </w:tc>
      </w:tr>
    </w:tbl>
    <w:p>
      <w:pPr>
        <w:pStyle w:val="TextBody"/>
        <w:bidi w:val="0"/>
        <w:spacing w:before="0" w:after="0"/>
        <w:ind w:left="0" w:right="0" w:hanging="0"/>
        <w:jc w:val="center"/>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bookmarkStart w:id="27" w:name="ex99-1.htm"/>
      <w:bookmarkStart w:id="28" w:name="ksex991"/>
      <w:bookmarkEnd w:id="27"/>
      <w:bookmarkEnd w:id="28"/>
      <w:r>
        <w:rPr>
          <w:caps w:val="false"/>
          <w:smallCaps w:val="false"/>
        </w:rPr>
        <w:t> </w:t>
      </w:r>
      <w:r>
        <w:br w:type="page"/>
      </w:r>
    </w:p>
    <w:p>
      <w:pPr>
        <w:pStyle w:val="TextBody"/>
        <w:bidi w:val="0"/>
        <w:spacing w:before="0" w:after="0"/>
        <w:ind w:left="0" w:right="0" w:hanging="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99.1</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drawing>
          <wp:inline distT="0" distB="0" distL="0" distR="0">
            <wp:extent cx="2352675" cy="66675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2352675" cy="666750"/>
                    </a:xfrm>
                    <a:prstGeom prst="rect">
                      <a:avLst/>
                    </a:prstGeom>
                  </pic:spPr>
                </pic:pic>
              </a:graphicData>
            </a:graphic>
          </wp:inline>
        </w:drawing>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Roadzen Delivers Best Quarter in Company History with Q4 FY2026 Revenue of $16.1 Million, Up 42% Year-Over-Year; Record Full-Year Revenue of $55.0 Million, Up 24%</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Roadzen Posts First ‘Rule of 40’ Quarter in Two Years; FY2026 Net Loss Narrows 69% and Adjusted EBITDA Loss Improves 58%, with Seventh Straight Quarter of Adjusted EBITDA Gains Nearing Breakeven</w:t>
      </w:r>
    </w:p>
    <w:p>
      <w:pPr>
        <w:pStyle w:val="TextBody"/>
        <w:bidi w:val="0"/>
        <w:spacing w:before="0" w:after="0"/>
        <w:jc w:val="center"/>
        <w:rPr>
          <w:caps w:val="false"/>
          <w:smallCaps w:val="false"/>
        </w:rPr>
      </w:pPr>
      <w:r>
        <w:rPr>
          <w:caps w:val="false"/>
          <w:smallCaps w:val="false"/>
        </w:rPr>
        <w:t> </w:t>
      </w:r>
    </w:p>
    <w:tbl>
      <w:tblPr>
        <w:tblW w:w="6258" w:type="dxa"/>
        <w:jc w:val="left"/>
        <w:tblInd w:w="0" w:type="dxa"/>
        <w:tblLayout w:type="fixed"/>
        <w:tblCellMar>
          <w:top w:w="0" w:type="dxa"/>
          <w:left w:w="0" w:type="dxa"/>
          <w:bottom w:w="0" w:type="dxa"/>
          <w:right w:w="0" w:type="dxa"/>
        </w:tblCellMar>
      </w:tblPr>
      <w:tblGrid>
        <w:gridCol w:w="38"/>
        <w:gridCol w:w="170"/>
        <w:gridCol w:w="6050"/>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6050" w:type="dxa"/>
            <w:tcBorders/>
            <w:vAlign w:val="center"/>
          </w:tcPr>
          <w:p>
            <w:pPr>
              <w:pStyle w:val="TableContents"/>
              <w:bidi w:val="0"/>
              <w:spacing w:before="0" w:after="283"/>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Record Revenue Growth Drives Strongest Quarter in Company History</w:t>
            </w:r>
          </w:p>
        </w:tc>
      </w:tr>
    </w:tbl>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Roadzen delivered record fourth-quarter revenue of $16.1 million, up 42% year-over-year and 12% sequentially — the highest quarterly revenue in Company history. Full-year FY2026 revenue rose to a record $55.0 million, up 24% from $44.3 million in FY2025, reflecting sustained multi-quarter acceleration driven by rising customer adoption and expanding enterprise penetration.</w:t>
      </w:r>
    </w:p>
    <w:p>
      <w:pPr>
        <w:pStyle w:val="TextBody"/>
        <w:bidi w:val="0"/>
        <w:spacing w:before="0" w:after="0"/>
        <w:ind w:left="720" w:right="0" w:hanging="0"/>
        <w:jc w:val="both"/>
        <w:rPr>
          <w:caps w:val="false"/>
          <w:smallCaps w:val="false"/>
        </w:rPr>
      </w:pPr>
      <w:r>
        <w:rPr>
          <w:caps w:val="false"/>
          <w:smallCaps w:val="false"/>
        </w:rPr>
        <w:t> </w:t>
      </w:r>
    </w:p>
    <w:tbl>
      <w:tblPr>
        <w:tblW w:w="6303" w:type="dxa"/>
        <w:jc w:val="left"/>
        <w:tblInd w:w="0" w:type="dxa"/>
        <w:tblLayout w:type="fixed"/>
        <w:tblCellMar>
          <w:top w:w="0" w:type="dxa"/>
          <w:left w:w="0" w:type="dxa"/>
          <w:bottom w:w="0" w:type="dxa"/>
          <w:right w:w="0" w:type="dxa"/>
        </w:tblCellMar>
      </w:tblPr>
      <w:tblGrid>
        <w:gridCol w:w="38"/>
        <w:gridCol w:w="170"/>
        <w:gridCol w:w="609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6095" w:type="dxa"/>
            <w:tcBorders/>
            <w:vAlign w:val="center"/>
          </w:tcPr>
          <w:p>
            <w:pPr>
              <w:pStyle w:val="TableContents"/>
              <w:bidi w:val="0"/>
              <w:spacing w:before="0" w:after="283"/>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Net Loss Narrows Sharply; Adjusted EBITDA</w:t>
            </w:r>
            <w:r>
              <w:rPr>
                <w:rFonts w:ascii="Times New Roman;Times;Serif" w:hAnsi="Times New Roman;Times;Serif"/>
                <w:b/>
                <w:i w:val="false"/>
                <w:caps w:val="false"/>
                <w:smallCaps w:val="false"/>
                <w:position w:val="7"/>
                <w:sz w:val="16"/>
                <w:sz w:val="20"/>
              </w:rPr>
              <w:t>1</w:t>
            </w:r>
            <w:r>
              <w:rPr>
                <w:rFonts w:ascii="Times New Roman;Times;Serif" w:hAnsi="Times New Roman;Times;Serif"/>
                <w:b/>
                <w:i w:val="false"/>
                <w:caps w:val="false"/>
                <w:smallCaps w:val="false"/>
                <w:sz w:val="20"/>
              </w:rPr>
              <w:t xml:space="preserve"> Approaches Break-Even</w:t>
            </w:r>
          </w:p>
        </w:tc>
      </w:tr>
    </w:tbl>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Net loss attributable to ordinary shareholders for FY2026 fell approximately 69% to $(22.5) million, or $(0.29) per share, from $(72.9) million, or $(1.04) per share, in FY2025, and full-year operating loss improved 77% to $(14.0) million from $(60.8) million in FY2025. Adjusted EBITDA loss for the fourth quarter was $(0.4) million, compared to $(1.6) million in the prior-year quarter, and full-year Adjusted EBITDA loss improved to $(3.5) million from $(8.4) million in FY2025 — Roadzen’s seventh consecutive quarter of improvement.</w:t>
      </w:r>
    </w:p>
    <w:p>
      <w:pPr>
        <w:pStyle w:val="TextBody"/>
        <w:bidi w:val="0"/>
        <w:spacing w:before="0" w:after="0"/>
        <w:ind w:left="720" w:right="0" w:hanging="0"/>
        <w:jc w:val="both"/>
        <w:rPr>
          <w:caps w:val="false"/>
          <w:smallCaps w:val="false"/>
        </w:rPr>
      </w:pPr>
      <w:r>
        <w:rPr>
          <w:caps w:val="false"/>
          <w:smallCaps w:val="false"/>
        </w:rPr>
        <w:t> </w:t>
      </w:r>
    </w:p>
    <w:tbl>
      <w:tblPr>
        <w:tblW w:w="5253" w:type="dxa"/>
        <w:jc w:val="left"/>
        <w:tblInd w:w="0" w:type="dxa"/>
        <w:tblLayout w:type="fixed"/>
        <w:tblCellMar>
          <w:top w:w="0" w:type="dxa"/>
          <w:left w:w="0" w:type="dxa"/>
          <w:bottom w:w="0" w:type="dxa"/>
          <w:right w:w="0" w:type="dxa"/>
        </w:tblCellMar>
      </w:tblPr>
      <w:tblGrid>
        <w:gridCol w:w="38"/>
        <w:gridCol w:w="170"/>
        <w:gridCol w:w="504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5045" w:type="dxa"/>
            <w:tcBorders/>
            <w:vAlign w:val="center"/>
          </w:tcPr>
          <w:p>
            <w:pPr>
              <w:pStyle w:val="TableContents"/>
              <w:bidi w:val="0"/>
              <w:spacing w:before="0" w:after="283"/>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Scaled AI Platform Delivers Measurable Ecosystem Impact</w:t>
            </w:r>
          </w:p>
        </w:tc>
      </w:tr>
    </w:tbl>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Roadzen’s AI platform processes over 3 million insurance claims annually and leverages over 4 billion miles of proprietary real-world driving data to power precision underwriting, claims automation, telematics, and driver intelligence. The platform delivers up to 72% accident reduction for fleets. Roadzen’s MGA operations run at an average 85% combined ratio — compared to an industry average of approximately 103% — and claims-to-repair cycle times are cut from an average of ~6 weeks to 48 hours for standard repairs, strengthened by VehicleCare.</w:t>
      </w:r>
    </w:p>
    <w:p>
      <w:pPr>
        <w:pStyle w:val="TextBody"/>
        <w:bidi w:val="0"/>
        <w:spacing w:before="0" w:after="0"/>
        <w:ind w:left="0" w:right="0" w:hanging="0"/>
        <w:jc w:val="both"/>
        <w:rPr>
          <w:caps w:val="false"/>
          <w:smallCaps w:val="false"/>
        </w:rPr>
      </w:pPr>
      <w:r>
        <w:rPr>
          <w:caps w:val="false"/>
          <w:smallCaps w:val="false"/>
        </w:rPr>
        <w:t> </w:t>
      </w:r>
    </w:p>
    <w:tbl>
      <w:tblPr>
        <w:tblW w:w="4803" w:type="dxa"/>
        <w:jc w:val="left"/>
        <w:tblInd w:w="0" w:type="dxa"/>
        <w:tblLayout w:type="fixed"/>
        <w:tblCellMar>
          <w:top w:w="0" w:type="dxa"/>
          <w:left w:w="0" w:type="dxa"/>
          <w:bottom w:w="0" w:type="dxa"/>
          <w:right w:w="0" w:type="dxa"/>
        </w:tblCellMar>
      </w:tblPr>
      <w:tblGrid>
        <w:gridCol w:w="38"/>
        <w:gridCol w:w="170"/>
        <w:gridCol w:w="459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4595" w:type="dxa"/>
            <w:tcBorders/>
            <w:vAlign w:val="center"/>
          </w:tcPr>
          <w:p>
            <w:pPr>
              <w:pStyle w:val="TableContents"/>
              <w:bidi w:val="0"/>
              <w:spacing w:before="0" w:after="283"/>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FY2027 Momentum Builds; Profitability Path Defined</w:t>
            </w:r>
          </w:p>
        </w:tc>
      </w:tr>
    </w:tbl>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Roadzen exited FY2026 at an approximately $64 million annualized revenue run-rate. With over $30 million in new annual revenue commitments already secured in Q1 FY2027 — across insurance contracts, OEM partnerships, fleet deployments, and carrier capacity programs — the Company has clear visibility towards reaching a $100 million annualized revenue run-rate and positive Adjusted EBITDA for the coming fiscal year.</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NEW YORK, June 29, 2026 (GLOBE NEWSWIRE) – Roadzen Inc. (Nasdaq: RDZN) (“Roadzen” or the “Company”), a global leader in AI at the convergence of insurance and mobility, today announced its financial results for the Fiscal 2026 fourth quarter and full year ended March 31, 2026.</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Commenting on the Company’s results, Rohan Malhotra, Founder and CEO of Roadzen, stated, “This was the best quarter in our history. We have been building towards this growth for two years by laying the groundwork — we are seeing increased adoption of our platform, largely driven by the U.S. and India, and democratic growth across all of our product lines. More customers are adopting more of our platform, across more geographies, and at increasing speed.</w:t>
      </w:r>
    </w:p>
    <w:p>
      <w:pPr>
        <w:pStyle w:val="TextBody"/>
        <w:bidi w:val="0"/>
        <w:spacing w:before="0" w:after="0"/>
        <w:ind w:left="0" w:right="0" w:hanging="0"/>
        <w:jc w:val="both"/>
        <w:rPr>
          <w:caps w:val="false"/>
          <w:smallCaps w:val="false"/>
        </w:rPr>
      </w:pPr>
      <w:r>
        <w:rPr>
          <w:caps w:val="false"/>
          <w:smallCaps w:val="false"/>
        </w:rPr>
        <w:t> </w:t>
      </w:r>
    </w:p>
    <w:p>
      <w:pPr>
        <w:pStyle w:val="TextBody"/>
        <w:bidi w:val="0"/>
        <w:ind w:left="0" w:right="0" w:hanging="0"/>
        <w:jc w:val="left"/>
        <w:rPr>
          <w:bdr w:val="single" w:sz="8" w:space="1" w:color="000000"/>
        </w:rPr>
      </w:pPr>
      <w:r>
        <w:rPr>
          <w:bdr w:val="single" w:sz="8" w:space="1" w:color="000000"/>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position w:val="7"/>
          <w:sz w:val="16"/>
          <w:sz w:val="20"/>
        </w:rPr>
        <w:t>1</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caps w:val="false"/>
          <w:smallCaps w:val="false"/>
          <w:sz w:val="20"/>
        </w:rPr>
        <w:t>Adjusted EBITDA is a non-GAAP financial metric. See “Non-GAAP Financial Measures” at the end of this press release for more information, including a reconciliation to the nearest GAAP financial measure.</w:t>
      </w:r>
    </w:p>
    <w:p>
      <w:pPr>
        <w:pStyle w:val="TextBody"/>
        <w:bidi w:val="0"/>
        <w:spacing w:before="0" w:after="0"/>
        <w:jc w:val="center"/>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right"/>
              <w:rPr/>
            </w:pPr>
            <w:r>
              <w:rPr/>
              <w:t> </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right"/>
              <w:rPr/>
            </w:pPr>
            <w:r>
              <w:rPr/>
              <w:t> </w:t>
            </w:r>
          </w:p>
        </w:tc>
      </w:tr>
    </w:tbl>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showcasing real-world AI at scale. Unlike general intelligence models, which are large, expensive and general-purpose, our focus is on building specialized models that deliver enterprise intelligence within context — that are built for precision and the lowest cost of delivery, so that our accuracy translates directly into real economic impact for our customers. As adoption grows, the network effects across our data, distribution, and decisioning compound.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goal for this year is clear: to be one of a handful of AI companies, globally, with over $100 million in annual recurring revenue with adjusted EBITDA profitability, and growing more than 40-50% a year. We are still early, but the direction is clear, and we have entered Fiscal 2027 with more momentum, more visibility, and greater conviction than ever before.”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Roadzen’s CFO, Jean-Noël Gallardo, commented, “The Fiscal fourth quarter represented a clear acceleration in Roadzen’s financial trajectory, with record quarterly revenue growing 42% year-over-year and 12% sequentially, driving meaningful operating leverage and continued improvement in our financial metrics. While our net loss for the quarter was $(7.3) million, or $(0.09) per share, we reduced our full-year Fiscal 2026 net loss by approximately 69% over the prior year. Our Adjusted EBITDA loss narrowed to $(0.4) million — our seventh consecutive quarter of improvement — bringing the Company closer to Adjusted EBITDA breakeven. We are also exceptionally pleased to report our first ‘Rule of 40’ quarter since the U.K. pause. The growth we are seeing in our acquired businesses is being driven by the synergies we have created across the Roadzen platform — by connecting them to our AI, our distribution, and our customer base, we are accelerating their growth well beyond what they could achieve independently.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There is clear momentum in the operating performance of the business, where year-over-year revenue growth has accelerated from an average of 18% in the first half of this year to more than 30% growth in the second half, while our Adjusted EBITDA margin narrowed from -10.2% to -3.3% over the same period — showing both sustained commercial acceleration and a clear trend toward breakeven.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also made decisive improvements to our balance sheet. We reduced short-term borrowings by approximately 60%, from $19.9 million to $7.8 million, while extending into longer-duration debt — including the extension of our $11.5 million senior secured facility with Mizuho to July 2027 — strengthening our near-term liquidity position and capital flexibility. We raised capital almost entirely through clean equity, largely at a premium to our market price, including at the India subsidiary level. The balance sheet clean-up remains a focus for us as we continue to strengthen the foundations of the business.”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Fourth Quarter and Full Year Financial Highlights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P&amp;L</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Revenue and Key Performance Indicators:</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Revenue for the Fourth Quarter ended March 31, 2026, increased to $16.1 million, compared to $11.3 million in the prior year period, representing 42% year-over-year growth, and increased 12% sequentially from $14.4 million in Q3 FY2026, marking the highest quarterly revenue in Company history. Growth was driven by continued expansion across insurance, mobility, and AI-powered fleet intelligence solutions, supported by increasing enterprise adoption and scaling deployments globally.</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Revenue for the Fiscal Year ended March 31, 2026, increased to $55.0 million, compared to $44.3 million in FY2025, representing 24% year-over-year growth. Gross margin for the fourth quarter was consistent with the prior year at 65.7%. For the full fiscal year, gross margin increased to 61.3% versus 57.5% in FY2025, demonstrating underlying operating leverage as the Company scales its AI-powered insurance and mobility platform.</w:t>
            </w:r>
          </w:p>
        </w:tc>
      </w:tr>
    </w:tbl>
    <w:p>
      <w:pPr>
        <w:pStyle w:val="TextBody"/>
        <w:bidi w:val="0"/>
        <w:spacing w:before="0" w:after="0"/>
        <w:jc w:val="center"/>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right"/>
              <w:rPr/>
            </w:pPr>
            <w:r>
              <w:rPr/>
              <w:t> </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right"/>
              <w:rPr/>
            </w:pPr>
            <w:r>
              <w:rPr/>
              <w:t> </w:t>
            </w:r>
          </w:p>
        </w:tc>
      </w:tr>
    </w:tbl>
    <w:p>
      <w:pPr>
        <w:pStyle w:val="TextBody"/>
        <w:bidi w:val="0"/>
        <w:spacing w:before="0" w:after="0"/>
        <w:jc w:val="center"/>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March 31, 2026, Roadzen had 61 insurance customer agreements (including carriers, self-insureds and other entities processing insurance claims), 91 automotive customer agreements, and approximately 4,200 agents and fleet customer agreements. This compares to 61 insurance, 87 automotive and 4,100 agent and fleet customers as of December 31, 2025.</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Roadzen brokerage business sold 144,270 policies during the fourth quarter for approximately $25.2 million of Gross Written Premium (“GWP”), compared to 149,810 policies in the prior FY2026 third quarter, producing $17.1 million of GWP. Crossing $25 million in quarterly Gross Written Premium is an important milestone for the Company as it builds toward $100 million in annualized GWP — driven by continued growth in India alongside a rising contribution from the U.S., where higher average premiums per policy and stronger margins are increasingly accretive to the mix.</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our IaaS business, 1,409,790 claims, roadside assistance and vehicle inspections were conducted during the three months ending March 31, 2026, compared to 1,397,535 for the prior third quarter ending December 31, 2025.</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Net Results:</w:t>
      </w:r>
    </w:p>
    <w:p>
      <w:pPr>
        <w:pStyle w:val="TextBody"/>
        <w:bidi w:val="0"/>
        <w:spacing w:before="0" w:after="0"/>
        <w:ind w:left="72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Net loss attributable to ordinary shareholders for the Fiscal Year ended March 31, 2026, was $(22.5) million, or $(0.29) per share, compared to $(72.9) million, or $(1.04) per share, in FY2025, representing a significant year-over-year improvement driven by materially lower operating losses and stronger revenue scaling across the Company’s AI-powered insurance and mobility platform. Of the FY2026 net loss, approximately $9.8 million was comprised of non-cash expenses, including a $4.0 million loss on fair value of the Company’s financial instruments (convertible notes, variable instruments and warrants), $2.2 million related to depreciation and amortization, and $3.6 million related to other non-cash items.</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Total operating expenses for the Fiscal Year ended March 31, 2026, were $69.0 million, compared to $105.1 million in FY2025, representing a 34% year-over-year reduction, driven by significant decreases in corporate overhead and general and administrative expenses, partially offset by higher cost of services reflecting increased platform utilization and revenue scaling.</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Adjusted EBITDA loss for the fiscal year was $(3.5) million, compared to $(8.4) million in FY2025. Fourth Quarter Adjusted EBITDA loss was $(0.4) million, compared to $(1.6) million in the prior-year quarter and $(0.6) million in the sequential third quarter, marking Roadzen’s seventh consecutive quarter of sequential improvement.</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Balance Sheet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Assets:</w:t>
      </w:r>
    </w:p>
    <w:p>
      <w:pPr>
        <w:pStyle w:val="TextBody"/>
        <w:bidi w:val="0"/>
        <w:spacing w:before="0" w:after="0"/>
        <w:ind w:left="720" w:right="0" w:hanging="0"/>
        <w:jc w:val="both"/>
        <w:rPr>
          <w:caps w:val="false"/>
          <w:smallCaps w:val="false"/>
        </w:rPr>
      </w:pPr>
      <w:r>
        <w:rPr>
          <w:caps w:val="false"/>
          <w:smallCaps w:val="false"/>
        </w:rPr>
        <w:t> </w:t>
      </w:r>
    </w:p>
    <w:tbl>
      <w:tblPr>
        <w:tblW w:w="10205" w:type="dxa"/>
        <w:jc w:val="left"/>
        <w:tblInd w:w="0" w:type="dxa"/>
        <w:shd w:fill="FFFFFF" w:val="clear"/>
        <w:tblLayout w:type="fixed"/>
        <w:tblCellMar>
          <w:top w:w="0" w:type="dxa"/>
          <w:left w:w="0" w:type="dxa"/>
          <w:bottom w:w="0" w:type="dxa"/>
          <w:right w:w="0" w:type="dxa"/>
        </w:tblCellMar>
      </w:tblPr>
      <w:tblGrid>
        <w:gridCol w:w="38"/>
        <w:gridCol w:w="170"/>
        <w:gridCol w:w="9997"/>
      </w:tblGrid>
      <w:tr>
        <w:trPr/>
        <w:tc>
          <w:tcPr>
            <w:tcW w:w="38" w:type="dxa"/>
            <w:tcBorders/>
            <w:shd w:fill="FFFFFF" w:val="clear"/>
            <w:vAlign w:val="center"/>
          </w:tcPr>
          <w:p>
            <w:pPr>
              <w:pStyle w:val="TableContents"/>
              <w:bidi w:val="0"/>
              <w:spacing w:before="0" w:after="283"/>
              <w:jc w:val="left"/>
              <w:rPr>
                <w:sz w:val="4"/>
                <w:szCs w:val="4"/>
              </w:rPr>
            </w:pPr>
            <w:r>
              <w:rPr>
                <w:sz w:val="4"/>
                <w:szCs w:val="4"/>
              </w:rPr>
            </w:r>
          </w:p>
        </w:tc>
        <w:tc>
          <w:tcPr>
            <w:tcW w:w="170" w:type="dxa"/>
            <w:tcBorders/>
            <w:shd w:fill="FFFFFF" w:val="clear"/>
            <w:vAlign w:val="center"/>
          </w:tcPr>
          <w:p>
            <w:pPr>
              <w:pStyle w:val="TableContents"/>
              <w:bidi w:val="0"/>
              <w:spacing w:before="0" w:after="283"/>
              <w:jc w:val="left"/>
              <w:rPr>
                <w:caps w:val="false"/>
                <w:smallCaps w:val="false"/>
              </w:rPr>
            </w:pPr>
            <w:r>
              <w:rPr>
                <w:caps w:val="false"/>
                <w:smallCaps w:val="false"/>
              </w:rPr>
              <w:t>●</w:t>
            </w:r>
          </w:p>
        </w:tc>
        <w:tc>
          <w:tcPr>
            <w:tcW w:w="9997" w:type="dxa"/>
            <w:tcBorders/>
            <w:shd w:fill="FFFFFF" w:val="cle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Total assets as of March 31, 2026, were $52.7 million, an increase of $20.1 million from the previous Fiscal Year end, driven by growth in receivables, acquisition-related intangible assets, and equity raised during the year. The Company ended the year with cash and cash equivalents of $6.6 million compared to $4.8 million at the prior year end period.</w:t>
            </w:r>
          </w:p>
        </w:tc>
      </w:tr>
    </w:tbl>
    <w:p>
      <w:pPr>
        <w:pStyle w:val="TextBody"/>
        <w:bidi w:val="0"/>
        <w:spacing w:before="0" w:after="0"/>
        <w:jc w:val="center"/>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right"/>
              <w:rPr/>
            </w:pPr>
            <w:r>
              <w:rPr/>
              <w:t> </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right"/>
              <w:rPr/>
            </w:pPr>
            <w:r>
              <w:rPr/>
              <w:t> </w:t>
            </w:r>
          </w:p>
        </w:tc>
      </w:tr>
    </w:tbl>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Liabilities:</w:t>
      </w:r>
    </w:p>
    <w:p>
      <w:pPr>
        <w:pStyle w:val="TextBody"/>
        <w:bidi w:val="0"/>
        <w:spacing w:before="0" w:after="0"/>
        <w:ind w:left="72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Total liabilities as of March 31, 2026, were $79.2 million, compared to $58.3 million at Fiscal Year-end 2025. These include $13.2 million of convertible notes and $4.2 million of non-cash liabilities, which is comprised of $2.0 million of derivative warrant liability, $1.0 million of deferred tax liability, and $1.2 million related to deferred revenue and retirement benefits.</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During the Fiscal Year, Roadzen restructured its debt profile to establish a more stable, longer-duration capital structure. The Company reduced short-term borrowings by approximately 60%, from $19.9 million to $7.8 million, while extending into long-term borrowings, which grew to $15.6 million. This deliberate shift strengthened Roadzen’s near-term liquidity and capital flexibility, positioning the balance sheet to support continued growth — including the extension of the Company’s $11.5 million senior secured facility with Mizuho Securities USA LLC to July 2027.</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Capitalization:</w:t>
      </w:r>
    </w:p>
    <w:p>
      <w:pPr>
        <w:pStyle w:val="TextBody"/>
        <w:bidi w:val="0"/>
        <w:spacing w:before="0" w:after="0"/>
        <w:ind w:left="72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9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March 31, 2026, the Company had approximately 79.7 million Ordinary Shares outstanding, an increase of 5.4 million shares from the prior fiscal year-end. This represented dilution of only approximately 7% to shareholders, as Roadzen raised a meaningful portion of its growth capital through its India subsidiary at a premium to the Nasdaq share price, limiting the absolute impact to the Company’s stock; Roadzen India was valued at $277 million following the VehicleCare acquisition.</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drivebuddyAI Developments:</w:t>
      </w:r>
    </w:p>
    <w:p>
      <w:pPr>
        <w:pStyle w:val="TextBody"/>
        <w:bidi w:val="0"/>
        <w:spacing w:before="0" w:after="0"/>
        <w:ind w:left="72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Patent — Driver Identification: drivebuddyAI was granted a patent for AI-powered in-vehicle facial recognition enabling continuous driver identification, anchoring AI-driven risk scoring, fatigue detection, and compliance enforcement to verified driver identity in real time.</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Patent — Hazardous Road Condition Detection: drivebuddyAI was granted a patent for AI-based detection and geo-mapping of hazardous road conditions in real time.</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Patent — Real-Time Lane Detection: drivebuddyAI was granted a patent for its AI-powered Real-Time Lane Detection System, a core technology underpinning advanced driver assistance and autonomous driving systems.</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These awards expand drivebuddyAI’s IP portfolio to more than 15 patents and reinforce its technological edge as the only platform certified under AIS-184, EU GSR 2144, and Euro NCAP 2026 standards.</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Surpassed 4 billion miles of real-world driving data, demonstrating up to 72% accident reduction.</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Acquisitions: Strategic Acquisitions Unlock New Markets and Full-Stack Control</w:t>
      </w:r>
    </w:p>
    <w:p>
      <w:pPr>
        <w:pStyle w:val="TextBody"/>
        <w:bidi w:val="0"/>
        <w:spacing w:before="0" w:after="0"/>
        <w:ind w:left="720" w:right="0" w:hanging="0"/>
        <w:jc w:val="both"/>
        <w:rPr>
          <w:caps w:val="false"/>
          <w:smallCaps w:val="false"/>
        </w:rPr>
      </w:pPr>
      <w:r>
        <w:rPr>
          <w:caps w:val="false"/>
          <w:smallCaps w:val="false"/>
        </w:rPr>
        <w:t> </w:t>
      </w:r>
    </w:p>
    <w:tbl>
      <w:tblPr>
        <w:tblW w:w="8103" w:type="dxa"/>
        <w:jc w:val="left"/>
        <w:tblInd w:w="0" w:type="dxa"/>
        <w:tblLayout w:type="fixed"/>
        <w:tblCellMar>
          <w:top w:w="0" w:type="dxa"/>
          <w:left w:w="0" w:type="dxa"/>
          <w:bottom w:w="0" w:type="dxa"/>
          <w:right w:w="0" w:type="dxa"/>
        </w:tblCellMar>
      </w:tblPr>
      <w:tblGrid>
        <w:gridCol w:w="38"/>
        <w:gridCol w:w="170"/>
        <w:gridCol w:w="789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7895" w:type="dxa"/>
            <w:tcBorders/>
            <w:vAlign w:val="center"/>
          </w:tcPr>
          <w:p>
            <w:pPr>
              <w:pStyle w:val="TableContents"/>
              <w:bidi w:val="0"/>
              <w:spacing w:before="0" w:after="283"/>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EliteCover Insurance — Entry into the ~$80 Billion U.S. Commercial Auto Insurance Market</w:t>
            </w:r>
          </w:p>
        </w:tc>
      </w:tr>
    </w:tbl>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December 3, 2025, Roadzen acquired majority control of EliteCover, a U.S.-based licensed commercial auto insurance broker and Managing General Underwriter operating in California, Texas, Illinois, and New Jersey, with Lloyd’s of London Coverholder status. The acquisition provides Roadzen with a regulated underwriting and distribution platform to participate directly in the approximately $80 billion U.S. commercial auto insurance market. Combined with Roadzen’s AI-powered underwriting, telematics-driven risk management, automated claims, and integrated roadside assistance through National Automobile Club, EliteCover enables an end-to-end commercial auto insurance offering on a commission- and fee-based model. The synergies created by integrating EliteCover into the Roadzen platform are expected to drive its growth across the U.S. commercial auto market.</w:t>
      </w:r>
    </w:p>
    <w:p>
      <w:pPr>
        <w:pStyle w:val="TextBody"/>
        <w:bidi w:val="0"/>
        <w:spacing w:before="0" w:after="0"/>
        <w:jc w:val="center"/>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right"/>
              <w:rPr/>
            </w:pPr>
            <w:r>
              <w:rPr/>
              <w:t> </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right"/>
              <w:rPr/>
            </w:pPr>
            <w:r>
              <w:rPr/>
              <w:t> </w:t>
            </w:r>
          </w:p>
        </w:tc>
      </w:tr>
    </w:tbl>
    <w:p>
      <w:pPr>
        <w:pStyle w:val="TextBody"/>
        <w:bidi w:val="0"/>
        <w:spacing w:before="0" w:after="0"/>
        <w:jc w:val="center"/>
        <w:rPr>
          <w:caps w:val="false"/>
          <w:smallCaps w:val="false"/>
        </w:rPr>
      </w:pPr>
      <w:r>
        <w:rPr>
          <w:caps w:val="false"/>
          <w:smallCaps w:val="false"/>
        </w:rPr>
        <w:t> </w:t>
      </w:r>
    </w:p>
    <w:tbl>
      <w:tblPr>
        <w:tblW w:w="4383" w:type="dxa"/>
        <w:jc w:val="left"/>
        <w:tblInd w:w="0" w:type="dxa"/>
        <w:tblLayout w:type="fixed"/>
        <w:tblCellMar>
          <w:top w:w="0" w:type="dxa"/>
          <w:left w:w="0" w:type="dxa"/>
          <w:bottom w:w="0" w:type="dxa"/>
          <w:right w:w="0" w:type="dxa"/>
        </w:tblCellMar>
      </w:tblPr>
      <w:tblGrid>
        <w:gridCol w:w="38"/>
        <w:gridCol w:w="170"/>
        <w:gridCol w:w="4175"/>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4175" w:type="dxa"/>
            <w:tcBorders/>
            <w:vAlign w:val="center"/>
          </w:tcPr>
          <w:p>
            <w:pPr>
              <w:pStyle w:val="TableContents"/>
              <w:bidi w:val="0"/>
              <w:spacing w:before="0" w:after="283"/>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VehicleCare — Full-Stack Motor Claims Control</w:t>
            </w:r>
          </w:p>
        </w:tc>
      </w:tr>
    </w:tbl>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January 6, 2026, Roadzen agreed to acquire VehicleCare, an AI-powered vehicle repair and workshop aggregation platform. VehicleCare’s software-enabled network of more than 1,200 workshops across India allows Roadzen to directly manage repair timelines, quality and cost outcomes, delivering over 30% loss-cost reductions versus OEM garages while improving cycle times, transparency, and fraud control. The transaction valued Roadzen’s India subsidiary at approximately $277 million, implying a value of roughly $3.50 per Roadzen share, based on Roadzen’s ownership of approximately 92% of the India subsidiary. Since closing, Roadzen has brought new business to VehicleCare by connecting it to the Company’s AI, insurer relationships, and claims funnel — winning two major insurer mandates that are expected to generate more than $20 million in combined annual revenue, and entering into a strategic partnership with TEMOT International, one of the world’s largest automotive parts distribution networks, strengthening the infrastructure supporting Roadzen’s newly launched 48-hour claims repair turnaround program.</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FY2027 – Off to a Strong Start with Over $30 Million in New Annual Revenue Mandates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Financial Developments</w:t>
      </w:r>
    </w:p>
    <w:p>
      <w:pPr>
        <w:pStyle w:val="TextBody"/>
        <w:bidi w:val="0"/>
        <w:spacing w:before="0" w:after="0"/>
        <w:ind w:left="72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previously announced, on May 5, 2026, the Company closed on a securities purchase agreement with institutional investors securing $8 million at an offering price of $1.70 per share.</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Roadzen secured an agreement with Mizuho Securities USA LLC to extend the maturity of its $11.5 million senior secured debt facility to July 7, 2027.</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Revenue &amp; Commercial Deployments:</w:t>
      </w:r>
    </w:p>
    <w:p>
      <w:pPr>
        <w:pStyle w:val="TextBody"/>
        <w:bidi w:val="0"/>
        <w:spacing w:before="0" w:after="0"/>
        <w:ind w:left="72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April 14, 2026 – Roadzen partnered with a top-10 global carmaker to deliver GAP insurance across the U.K., its second major European OEM win since September 2025.</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April 22, 2026 – Roadzen’s U.K. subsidiary, Global Insurance Management, secured several new contracts totaling $2.5 million in projected annual revenue.</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April 27, 2026 – Leveraging Roadzen’s insurer relationships, VehicleCare secured a major claims mandate from one of India’s largest insurers, expected to generate over $10 million in annual revenue.</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April 29, 2026 – Roadzen’s drivebuddyAI won a $2.5 million contract to bring AI-powered safety to a 3,000-truck fleet.</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April 30, 2026 – Roadzen secured an LOI for a $30 million insurance capacity commitment from a leading U.S. carrier, with the program anticipated to contribute approximately $6 million in annual revenue.</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June 16, 2026 – Building on Roadzen’s distribution, VehicleCare secured a second major insurer mandate with one of India’s top 10 general insurers, expected to generate more than $10 million in annual revenue.</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June 18, 2026 – Roadzen expanded its U.S. footprint with a commercial contract valued at approximately $1.2 million in annual revenue, naming its National Automobile Club subsidiary as the exclusive roadside assistance provider for a digital platform serving more than 500,000 users.</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June 23, 2026 – Roadzen’s drivebuddyAI secured a $5.3 million purchase order from one of India’s leading EV fleet operators to deploy its AI-powered fleet safety platform across up to 3,600 electric commercial vehicles over five years.</w:t>
            </w:r>
          </w:p>
        </w:tc>
      </w:tr>
    </w:tbl>
    <w:p>
      <w:pPr>
        <w:pStyle w:val="TextBody"/>
        <w:bidi w:val="0"/>
        <w:spacing w:before="0" w:after="0"/>
        <w:jc w:val="center"/>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right"/>
              <w:rPr/>
            </w:pPr>
            <w:r>
              <w:rPr/>
              <w:t> </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Strategic Partnerships &amp; Ecosystem Expansion:</w:t>
      </w:r>
    </w:p>
    <w:p>
      <w:pPr>
        <w:pStyle w:val="TextBody"/>
        <w:bidi w:val="0"/>
        <w:spacing w:before="0" w:after="0"/>
        <w:ind w:left="72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May 6, 2026 – VehicleCare partnered with global auto-parts network TEMOT International to build integrated claims-to-repair infrastructure and parts availability across India.</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May 7, 2026 – Roadzen selected as a beta-testing partner for Anthropic’s Managed Agents platform for enterprise AI deployment.</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Other Interest:</w:t>
      </w:r>
    </w:p>
    <w:p>
      <w:pPr>
        <w:pStyle w:val="TextBody"/>
        <w:bidi w:val="0"/>
        <w:spacing w:before="0" w:after="0"/>
        <w:ind w:left="72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70"/>
        <w:gridCol w:w="9997"/>
      </w:tblGrid>
      <w:tr>
        <w:trPr/>
        <w:tc>
          <w:tcPr>
            <w:tcW w:w="38"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9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June 26, 2026 – Roadzen was included in the Russell 2000 and 3000 indices in the semi-annual rebalance, following qualification on Russell rank day.</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For more information about Roadzen Inc., please visit </w:t>
      </w:r>
      <w:r>
        <w:rPr>
          <w:rFonts w:ascii="Times New Roman;Times;Serif" w:hAnsi="Times New Roman;Times;Serif"/>
          <w:b w:val="false"/>
          <w:i w:val="false"/>
          <w:caps w:val="false"/>
          <w:smallCaps w:val="false"/>
          <w:sz w:val="20"/>
          <w:u w:val="single"/>
        </w:rPr>
        <w:t>https://roadzen.ai</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About Roadzen Inc.</w:t>
      </w:r>
      <w:r>
        <w:rPr>
          <w:rFonts w:ascii="Times New Roman;Times;Serif" w:hAnsi="Times New Roman;Times;Serif"/>
          <w:b w:val="false"/>
          <w:i w:val="false"/>
          <w:caps w:val="false"/>
          <w:smallCaps w:val="false"/>
          <w:sz w:val="20"/>
        </w:rPr>
        <w:t xml:space="preserve"> Roadzen Inc. (Nasdaq: RDZN) is a global leader in AI at the convergence of insurance and mobility. Roadzen builds technology that helps insurers, automakers, and fleets better predict and prevent risk, automate claims, and deliver seamless, embedded insurance experiences. Thousands of clients across North America, Europe, and Asia — from the world’s leading insurers, carmakers, and fleets to dealerships and agents — use Roadzen’s technology to build new products, sell insurance, process claims, and improve road safety. Roadzen’s pioneering work in telematics, generative AI, and computer vision has earned recognition from Forbes, Fortune, and Financial Express as one of the world’s top AI innovators. Headquartered in Burlingame, California, Roadzen employs more than 450 people across offices in the U.S., U.K., India, and China. Learn more at </w:t>
      </w:r>
      <w:r>
        <w:rPr>
          <w:rFonts w:ascii="Times New Roman;Times;Serif" w:hAnsi="Times New Roman;Times;Serif"/>
          <w:b w:val="false"/>
          <w:i w:val="false"/>
          <w:caps w:val="false"/>
          <w:smallCaps w:val="false"/>
          <w:sz w:val="20"/>
          <w:u w:val="single"/>
        </w:rPr>
        <w:t>www.roadzen.ai</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Cautionary Statement Regarding Forward Looking Statements</w:t>
      </w:r>
      <w:r>
        <w:rPr>
          <w:rFonts w:ascii="Times New Roman;Times;Serif" w:hAnsi="Times New Roman;Times;Serif"/>
          <w:b w:val="false"/>
          <w:i w:val="false"/>
          <w:caps w:val="false"/>
          <w:smallCaps w:val="false"/>
          <w:sz w:val="20"/>
        </w:rPr>
        <w:t xml:space="preserve"> This press release includes forward-looking statements within the meaning of Section 27A of the Securities Act of 1933, as amended (the “Securities Act”), and Section 21E of the Securities Exchange Act of 1934, as amended (the “Exchange Act”). We have based these forward-looking statements on our current expectations and projections about future events. These forward-looking statements are subject to known and unknown risks, uncertainties and assumptions about us that may cause our actual results, levels of activity, performance or achievements to be materially different from any future results, levels of activity, performance or achievements expressed or implied by such forward-looking statements. In some cases, you can identify forward-looking statements by terminology such as “may,” “should,” “could,” “would,” “expect,” “plan,” “anticipate,” “believe,” “estimate,” and “continue,” or the negative of such terms or other similar expressions. Such statements include, but are not limited to, statements regarding the anticipated benefits of our products and solutions, our expected revenue growth and anticipated Adjusted EBITDA breakeven timing, expected revenue and results from announced contracts and strategic partnerships, the anticipated synergies and growth from our acquisitions, strategy, demand for our products, expansion plans, future operations, future operating results, estimated revenues, losses, projected costs, prospects, plans and objectives of management, as well as all other statements other than statements of historical fact included in this press release. Factors that might cause or contribute to such a discrepancy include, but are not limited to, those described in “Risk Factors” in our Securities and Exchange Commission (“SEC”) filings, including the annual report on Form 10-K we filed with the SEC on June 26, 2025. We urge you to consider these factors, risks and uncertainties carefully in evaluating the forward-looking statements contained in this press release. All subsequent written or oral forward-looking statements attributable to our company or persons acting on our behalf are expressly qualified in their entirety by these cautionary statements. The forward-looking statements included in this press release are made only as of the date of this release. Except as expressly required by applicable securities law, we disclaim any intention or obligation to update or revise any forward-looking statements, whether as a result of new information, future events or otherwise.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more information, please contact: Investor Contacts: IR@roadzen.ai Media Contacts: Sanya Soni sanya@roadzen.ai or media@roadzen.ai</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Financial Statements Follow</w:t>
      </w:r>
    </w:p>
    <w:p>
      <w:pPr>
        <w:pStyle w:val="TextBody"/>
        <w:bidi w:val="0"/>
        <w:spacing w:before="0" w:after="0"/>
        <w:ind w:left="0" w:right="0" w:hanging="0"/>
        <w:jc w:val="center"/>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right"/>
              <w:rPr/>
            </w:pPr>
            <w:r>
              <w:rPr/>
              <w:t> </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right"/>
              <w:rPr/>
            </w:pPr>
            <w:r>
              <w:rPr/>
              <w:t> </w:t>
            </w:r>
          </w:p>
        </w:tc>
      </w:tr>
    </w:tbl>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Roadzen Inc.</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Consolidated Balance Sheets</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 US $, except share count)</w:t>
      </w:r>
    </w:p>
    <w:p>
      <w:pPr>
        <w:pStyle w:val="TextBody"/>
        <w:bidi w:val="0"/>
        <w:spacing w:before="0" w:after="0"/>
        <w:jc w:val="center"/>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148"/>
        <w:gridCol w:w="60"/>
        <w:gridCol w:w="60"/>
        <w:gridCol w:w="1305"/>
        <w:gridCol w:w="95"/>
        <w:gridCol w:w="60"/>
        <w:gridCol w:w="60"/>
        <w:gridCol w:w="1305"/>
        <w:gridCol w:w="112"/>
      </w:tblGrid>
      <w:tr>
        <w:trPr/>
        <w:tc>
          <w:tcPr>
            <w:tcW w:w="7148" w:type="dxa"/>
            <w:tcBorders/>
            <w:vAlign w:val="center"/>
          </w:tcPr>
          <w:p>
            <w:pPr>
              <w:pStyle w:val="TableContents"/>
              <w:bidi w:val="0"/>
              <w:spacing w:before="0" w:after="283"/>
              <w:jc w:val="center"/>
              <w:rPr>
                <w:b/>
              </w:rPr>
            </w:pPr>
            <w:r>
              <w:rPr>
                <w:b/>
              </w:rPr>
              <w:t>Particulars</w:t>
            </w:r>
          </w:p>
        </w:tc>
        <w:tc>
          <w:tcPr>
            <w:tcW w:w="60" w:type="dxa"/>
            <w:tcBorders/>
            <w:vAlign w:val="center"/>
          </w:tcPr>
          <w:p>
            <w:pPr>
              <w:pStyle w:val="TableContents"/>
              <w:bidi w:val="0"/>
              <w:spacing w:before="0" w:after="283"/>
              <w:jc w:val="left"/>
              <w:rPr/>
            </w:pPr>
            <w:r>
              <w:rPr/>
              <w:t> </w:t>
            </w:r>
          </w:p>
        </w:tc>
        <w:tc>
          <w:tcPr>
            <w:tcW w:w="1365" w:type="dxa"/>
            <w:gridSpan w:val="2"/>
            <w:tcBorders>
              <w:bottom w:val="single" w:sz="8"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As of</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March 31, 2026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65" w:type="dxa"/>
            <w:gridSpan w:val="2"/>
            <w:tcBorders>
              <w:bottom w:val="single" w:sz="8"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As of</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March 31, 2025 </w:t>
            </w:r>
          </w:p>
        </w:tc>
        <w:tc>
          <w:tcPr>
            <w:tcW w:w="112" w:type="dxa"/>
            <w:tcBorders/>
            <w:vAlign w:val="center"/>
          </w:tcPr>
          <w:p>
            <w:pPr>
              <w:pStyle w:val="TableContents"/>
              <w:bidi w:val="0"/>
              <w:spacing w:before="0" w:after="283"/>
              <w:jc w:val="left"/>
              <w:rPr/>
            </w:pPr>
            <w:r>
              <w:rPr/>
              <w:t> </w:t>
            </w:r>
          </w:p>
        </w:tc>
      </w:tr>
      <w:tr>
        <w:trPr/>
        <w:tc>
          <w:tcPr>
            <w:tcW w:w="7148" w:type="dxa"/>
            <w:tcBorders/>
            <w:shd w:fill="CCEEFF" w:val="clear"/>
            <w:vAlign w:val="center"/>
          </w:tcPr>
          <w:p>
            <w:pPr>
              <w:pStyle w:val="TableContents"/>
              <w:bidi w:val="0"/>
              <w:spacing w:before="0" w:after="283"/>
              <w:jc w:val="left"/>
              <w:rPr>
                <w:b/>
              </w:rPr>
            </w:pPr>
            <w:r>
              <w:rPr>
                <w:b/>
              </w:rPr>
              <w:t>Assets</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0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05" w:type="dxa"/>
            <w:tcBorders/>
            <w:shd w:fill="CCEEFF" w:val="clear"/>
            <w:vAlign w:val="center"/>
          </w:tcPr>
          <w:p>
            <w:pPr>
              <w:pStyle w:val="TableContents"/>
              <w:bidi w:val="0"/>
              <w:spacing w:before="0" w:after="283"/>
              <w:jc w:val="right"/>
              <w:rPr/>
            </w:pPr>
            <w:r>
              <w:rPr/>
              <w:t> </w:t>
            </w:r>
          </w:p>
        </w:tc>
        <w:tc>
          <w:tcPr>
            <w:tcW w:w="112" w:type="dxa"/>
            <w:tcBorders/>
            <w:shd w:fill="CCEEFF" w:val="clear"/>
            <w:vAlign w:val="center"/>
          </w:tcPr>
          <w:p>
            <w:pPr>
              <w:pStyle w:val="TableContents"/>
              <w:bidi w:val="0"/>
              <w:spacing w:before="0" w:after="283"/>
              <w:jc w:val="left"/>
              <w:rPr/>
            </w:pPr>
            <w:r>
              <w:rPr/>
              <w:t> </w:t>
            </w:r>
          </w:p>
        </w:tc>
      </w:tr>
      <w:tr>
        <w:trPr/>
        <w:tc>
          <w:tcPr>
            <w:tcW w:w="7148" w:type="dxa"/>
            <w:tcBorders/>
            <w:shd w:fill="FFFFFF" w:val="clear"/>
            <w:vAlign w:val="center"/>
          </w:tcPr>
          <w:p>
            <w:pPr>
              <w:pStyle w:val="TableContents"/>
              <w:bidi w:val="0"/>
              <w:spacing w:before="0" w:after="283"/>
              <w:jc w:val="left"/>
              <w:rPr>
                <w:b/>
              </w:rPr>
            </w:pPr>
            <w:r>
              <w:rPr>
                <w:b/>
              </w:rPr>
              <w:t>Current assets:</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0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05" w:type="dxa"/>
            <w:tcBorders/>
            <w:shd w:fill="FFFFFF" w:val="clear"/>
            <w:vAlign w:val="center"/>
          </w:tcPr>
          <w:p>
            <w:pPr>
              <w:pStyle w:val="TableContents"/>
              <w:bidi w:val="0"/>
              <w:spacing w:before="0" w:after="283"/>
              <w:jc w:val="right"/>
              <w:rPr/>
            </w:pPr>
            <w:r>
              <w:rPr/>
              <w:t> </w:t>
            </w:r>
          </w:p>
        </w:tc>
        <w:tc>
          <w:tcPr>
            <w:tcW w:w="112" w:type="dxa"/>
            <w:tcBorders/>
            <w:shd w:fill="FFFFFF" w:val="clear"/>
            <w:vAlign w:val="center"/>
          </w:tcPr>
          <w:p>
            <w:pPr>
              <w:pStyle w:val="TableContents"/>
              <w:bidi w:val="0"/>
              <w:spacing w:before="0" w:after="283"/>
              <w:jc w:val="left"/>
              <w:rPr/>
            </w:pPr>
            <w:r>
              <w:rPr/>
              <w:t> </w:t>
            </w:r>
          </w:p>
        </w:tc>
      </w:tr>
      <w:tr>
        <w:trPr/>
        <w:tc>
          <w:tcPr>
            <w:tcW w:w="7148" w:type="dxa"/>
            <w:tcBorders/>
            <w:shd w:fill="CCEEFF" w:val="clear"/>
            <w:vAlign w:val="center"/>
          </w:tcPr>
          <w:p>
            <w:pPr>
              <w:pStyle w:val="TableContents"/>
              <w:bidi w:val="0"/>
              <w:spacing w:before="0" w:after="283"/>
              <w:jc w:val="left"/>
              <w:rPr/>
            </w:pPr>
            <w:r>
              <w:rPr/>
              <w:t>Cash and cash equivalents</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05" w:type="dxa"/>
            <w:tcBorders/>
            <w:shd w:fill="CCEEFF" w:val="clear"/>
            <w:vAlign w:val="center"/>
          </w:tcPr>
          <w:p>
            <w:pPr>
              <w:pStyle w:val="TableContents"/>
              <w:bidi w:val="0"/>
              <w:spacing w:before="0" w:after="283"/>
              <w:jc w:val="right"/>
              <w:rPr/>
            </w:pPr>
            <w:r>
              <w:rPr/>
              <w:t>6,578,594</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05" w:type="dxa"/>
            <w:tcBorders/>
            <w:shd w:fill="CCEEFF" w:val="clear"/>
            <w:vAlign w:val="center"/>
          </w:tcPr>
          <w:p>
            <w:pPr>
              <w:pStyle w:val="TableContents"/>
              <w:bidi w:val="0"/>
              <w:spacing w:before="0" w:after="283"/>
              <w:jc w:val="right"/>
              <w:rPr/>
            </w:pPr>
            <w:r>
              <w:rPr/>
              <w:t>4,836,576</w:t>
            </w:r>
          </w:p>
        </w:tc>
        <w:tc>
          <w:tcPr>
            <w:tcW w:w="112" w:type="dxa"/>
            <w:tcBorders/>
            <w:shd w:fill="CCEEFF" w:val="clear"/>
            <w:vAlign w:val="center"/>
          </w:tcPr>
          <w:p>
            <w:pPr>
              <w:pStyle w:val="TableContents"/>
              <w:bidi w:val="0"/>
              <w:spacing w:before="0" w:after="283"/>
              <w:jc w:val="left"/>
              <w:rPr/>
            </w:pPr>
            <w:r>
              <w:rPr/>
              <w:t> </w:t>
            </w:r>
          </w:p>
        </w:tc>
      </w:tr>
      <w:tr>
        <w:trPr/>
        <w:tc>
          <w:tcPr>
            <w:tcW w:w="7148" w:type="dxa"/>
            <w:tcBorders/>
            <w:shd w:fill="FFFFFF" w:val="clear"/>
            <w:vAlign w:val="center"/>
          </w:tcPr>
          <w:p>
            <w:pPr>
              <w:pStyle w:val="TableContents"/>
              <w:bidi w:val="0"/>
              <w:spacing w:before="0" w:after="283"/>
              <w:jc w:val="left"/>
              <w:rPr/>
            </w:pPr>
            <w:r>
              <w:rPr/>
              <w:t>Accounts receivable, net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05" w:type="dxa"/>
            <w:tcBorders/>
            <w:shd w:fill="FFFFFF" w:val="clear"/>
            <w:vAlign w:val="center"/>
          </w:tcPr>
          <w:p>
            <w:pPr>
              <w:pStyle w:val="TableContents"/>
              <w:bidi w:val="0"/>
              <w:spacing w:before="0" w:after="283"/>
              <w:jc w:val="right"/>
              <w:rPr/>
            </w:pPr>
            <w:r>
              <w:rPr/>
              <w:t>7,500,439</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05" w:type="dxa"/>
            <w:tcBorders/>
            <w:shd w:fill="FFFFFF" w:val="clear"/>
            <w:vAlign w:val="center"/>
          </w:tcPr>
          <w:p>
            <w:pPr>
              <w:pStyle w:val="TableContents"/>
              <w:bidi w:val="0"/>
              <w:spacing w:before="0" w:after="283"/>
              <w:jc w:val="right"/>
              <w:rPr/>
            </w:pPr>
            <w:r>
              <w:rPr/>
              <w:t>2,625,385</w:t>
            </w:r>
          </w:p>
        </w:tc>
        <w:tc>
          <w:tcPr>
            <w:tcW w:w="112" w:type="dxa"/>
            <w:tcBorders/>
            <w:shd w:fill="FFFFFF" w:val="clear"/>
            <w:vAlign w:val="center"/>
          </w:tcPr>
          <w:p>
            <w:pPr>
              <w:pStyle w:val="TableContents"/>
              <w:bidi w:val="0"/>
              <w:spacing w:before="0" w:after="283"/>
              <w:jc w:val="left"/>
              <w:rPr/>
            </w:pPr>
            <w:r>
              <w:rPr/>
              <w:t> </w:t>
            </w:r>
          </w:p>
        </w:tc>
      </w:tr>
      <w:tr>
        <w:trPr/>
        <w:tc>
          <w:tcPr>
            <w:tcW w:w="7148" w:type="dxa"/>
            <w:tcBorders/>
            <w:shd w:fill="CCEEFF" w:val="clear"/>
            <w:vAlign w:val="center"/>
          </w:tcPr>
          <w:p>
            <w:pPr>
              <w:pStyle w:val="TableContents"/>
              <w:bidi w:val="0"/>
              <w:spacing w:before="0" w:after="283"/>
              <w:jc w:val="left"/>
              <w:rPr/>
            </w:pPr>
            <w:r>
              <w:rPr/>
              <w:t>Inventories</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05" w:type="dxa"/>
            <w:tcBorders/>
            <w:shd w:fill="CCEEFF" w:val="clear"/>
            <w:vAlign w:val="center"/>
          </w:tcPr>
          <w:p>
            <w:pPr>
              <w:pStyle w:val="TableContents"/>
              <w:bidi w:val="0"/>
              <w:spacing w:before="0" w:after="283"/>
              <w:jc w:val="right"/>
              <w:rPr/>
            </w:pPr>
            <w:r>
              <w:rPr/>
              <w:t>116,555</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05" w:type="dxa"/>
            <w:tcBorders/>
            <w:shd w:fill="CCEEFF" w:val="clear"/>
            <w:vAlign w:val="center"/>
          </w:tcPr>
          <w:p>
            <w:pPr>
              <w:pStyle w:val="TableContents"/>
              <w:bidi w:val="0"/>
              <w:spacing w:before="0" w:after="283"/>
              <w:jc w:val="right"/>
              <w:rPr/>
            </w:pPr>
            <w:r>
              <w:rPr/>
              <w:t>202,535</w:t>
            </w:r>
          </w:p>
        </w:tc>
        <w:tc>
          <w:tcPr>
            <w:tcW w:w="112" w:type="dxa"/>
            <w:tcBorders/>
            <w:shd w:fill="CCEEFF" w:val="clear"/>
            <w:vAlign w:val="center"/>
          </w:tcPr>
          <w:p>
            <w:pPr>
              <w:pStyle w:val="TableContents"/>
              <w:bidi w:val="0"/>
              <w:spacing w:before="0" w:after="283"/>
              <w:jc w:val="left"/>
              <w:rPr/>
            </w:pPr>
            <w:r>
              <w:rPr/>
              <w:t> </w:t>
            </w:r>
          </w:p>
        </w:tc>
      </w:tr>
      <w:tr>
        <w:trPr/>
        <w:tc>
          <w:tcPr>
            <w:tcW w:w="7148" w:type="dxa"/>
            <w:tcBorders/>
            <w:shd w:fill="FFFFFF" w:val="clear"/>
            <w:vAlign w:val="center"/>
          </w:tcPr>
          <w:p>
            <w:pPr>
              <w:pStyle w:val="TableContents"/>
              <w:bidi w:val="0"/>
              <w:spacing w:before="0" w:after="283"/>
              <w:jc w:val="left"/>
              <w:rPr/>
            </w:pPr>
            <w:r>
              <w:rPr/>
              <w:t>Prepayments and other current assets</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05" w:type="dxa"/>
            <w:tcBorders/>
            <w:shd w:fill="FFFFFF" w:val="clear"/>
            <w:vAlign w:val="center"/>
          </w:tcPr>
          <w:p>
            <w:pPr>
              <w:pStyle w:val="TableContents"/>
              <w:bidi w:val="0"/>
              <w:spacing w:before="0" w:after="283"/>
              <w:jc w:val="right"/>
              <w:rPr/>
            </w:pPr>
            <w:r>
              <w:rPr/>
              <w:t>17,833,119</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05" w:type="dxa"/>
            <w:tcBorders/>
            <w:shd w:fill="FFFFFF" w:val="clear"/>
            <w:vAlign w:val="center"/>
          </w:tcPr>
          <w:p>
            <w:pPr>
              <w:pStyle w:val="TableContents"/>
              <w:bidi w:val="0"/>
              <w:spacing w:before="0" w:after="283"/>
              <w:jc w:val="right"/>
              <w:rPr/>
            </w:pPr>
            <w:r>
              <w:rPr/>
              <w:t>19,092,595</w:t>
            </w:r>
          </w:p>
        </w:tc>
        <w:tc>
          <w:tcPr>
            <w:tcW w:w="112" w:type="dxa"/>
            <w:tcBorders/>
            <w:shd w:fill="FFFFFF" w:val="clear"/>
            <w:vAlign w:val="center"/>
          </w:tcPr>
          <w:p>
            <w:pPr>
              <w:pStyle w:val="TableContents"/>
              <w:bidi w:val="0"/>
              <w:spacing w:before="0" w:after="283"/>
              <w:jc w:val="left"/>
              <w:rPr/>
            </w:pPr>
            <w:r>
              <w:rPr/>
              <w:t> </w:t>
            </w:r>
          </w:p>
        </w:tc>
      </w:tr>
      <w:tr>
        <w:trPr/>
        <w:tc>
          <w:tcPr>
            <w:tcW w:w="7148" w:type="dxa"/>
            <w:tcBorders/>
            <w:shd w:fill="CCEEFF" w:val="clear"/>
            <w:vAlign w:val="center"/>
          </w:tcPr>
          <w:p>
            <w:pPr>
              <w:pStyle w:val="TableContents"/>
              <w:bidi w:val="0"/>
              <w:spacing w:before="0" w:after="283"/>
              <w:jc w:val="left"/>
              <w:rPr/>
            </w:pPr>
            <w:r>
              <w:rPr/>
              <w:t>Investments</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305" w:type="dxa"/>
            <w:tcBorders>
              <w:bottom w:val="single" w:sz="8" w:space="0" w:color="000000"/>
            </w:tcBorders>
            <w:shd w:fill="CCEEFF" w:val="clear"/>
            <w:tcMar>
              <w:bottom w:w="28" w:type="dxa"/>
            </w:tcMar>
            <w:vAlign w:val="center"/>
          </w:tcPr>
          <w:p>
            <w:pPr>
              <w:pStyle w:val="TableContents"/>
              <w:bidi w:val="0"/>
              <w:spacing w:before="0" w:after="283"/>
              <w:jc w:val="right"/>
              <w:rPr/>
            </w:pPr>
            <w:r>
              <w:rPr/>
              <w:t>229,994</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305" w:type="dxa"/>
            <w:tcBorders>
              <w:bottom w:val="single" w:sz="8" w:space="0" w:color="000000"/>
            </w:tcBorders>
            <w:shd w:fill="CCEEFF" w:val="clear"/>
            <w:tcMar>
              <w:bottom w:w="28" w:type="dxa"/>
            </w:tcMar>
            <w:vAlign w:val="center"/>
          </w:tcPr>
          <w:p>
            <w:pPr>
              <w:pStyle w:val="TableContents"/>
              <w:bidi w:val="0"/>
              <w:spacing w:before="0" w:after="283"/>
              <w:jc w:val="right"/>
              <w:rPr/>
            </w:pPr>
            <w:r>
              <w:rPr/>
              <w:t>197,805</w:t>
            </w:r>
          </w:p>
        </w:tc>
        <w:tc>
          <w:tcPr>
            <w:tcW w:w="112" w:type="dxa"/>
            <w:tcBorders/>
            <w:shd w:fill="CCEEFF" w:val="clear"/>
            <w:vAlign w:val="center"/>
          </w:tcPr>
          <w:p>
            <w:pPr>
              <w:pStyle w:val="TableContents"/>
              <w:bidi w:val="0"/>
              <w:spacing w:before="0" w:after="283"/>
              <w:jc w:val="left"/>
              <w:rPr/>
            </w:pPr>
            <w:r>
              <w:rPr/>
              <w:t> </w:t>
            </w:r>
          </w:p>
        </w:tc>
      </w:tr>
      <w:tr>
        <w:trPr/>
        <w:tc>
          <w:tcPr>
            <w:tcW w:w="7148" w:type="dxa"/>
            <w:tcBorders/>
            <w:shd w:fill="FFFFFF" w:val="clear"/>
            <w:vAlign w:val="center"/>
          </w:tcPr>
          <w:p>
            <w:pPr>
              <w:pStyle w:val="TableContents"/>
              <w:bidi w:val="0"/>
              <w:spacing w:before="0" w:after="283"/>
              <w:jc w:val="left"/>
              <w:rPr>
                <w:b/>
              </w:rPr>
            </w:pPr>
            <w:r>
              <w:rPr>
                <w:b/>
              </w:rPr>
              <w:t>Total current assets</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05" w:type="dxa"/>
            <w:tcBorders/>
            <w:shd w:fill="FFFFFF" w:val="clear"/>
            <w:vAlign w:val="center"/>
          </w:tcPr>
          <w:p>
            <w:pPr>
              <w:pStyle w:val="TableContents"/>
              <w:bidi w:val="0"/>
              <w:spacing w:before="0" w:after="283"/>
              <w:jc w:val="right"/>
              <w:rPr>
                <w:b/>
              </w:rPr>
            </w:pPr>
            <w:r>
              <w:rPr>
                <w:b/>
              </w:rPr>
              <w:t>32,258,701</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05" w:type="dxa"/>
            <w:tcBorders/>
            <w:shd w:fill="FFFFFF" w:val="clear"/>
            <w:vAlign w:val="center"/>
          </w:tcPr>
          <w:p>
            <w:pPr>
              <w:pStyle w:val="TableContents"/>
              <w:bidi w:val="0"/>
              <w:spacing w:before="0" w:after="283"/>
              <w:jc w:val="right"/>
              <w:rPr>
                <w:b/>
              </w:rPr>
            </w:pPr>
            <w:r>
              <w:rPr>
                <w:b/>
              </w:rPr>
              <w:t>26,954,896</w:t>
            </w:r>
          </w:p>
        </w:tc>
        <w:tc>
          <w:tcPr>
            <w:tcW w:w="112" w:type="dxa"/>
            <w:tcBorders/>
            <w:shd w:fill="FFFFFF" w:val="clear"/>
            <w:vAlign w:val="center"/>
          </w:tcPr>
          <w:p>
            <w:pPr>
              <w:pStyle w:val="TableContents"/>
              <w:bidi w:val="0"/>
              <w:spacing w:before="0" w:after="283"/>
              <w:jc w:val="left"/>
              <w:rPr/>
            </w:pPr>
            <w:r>
              <w:rPr/>
              <w:t> </w:t>
            </w:r>
          </w:p>
        </w:tc>
      </w:tr>
      <w:tr>
        <w:trPr/>
        <w:tc>
          <w:tcPr>
            <w:tcW w:w="7148" w:type="dxa"/>
            <w:tcBorders/>
            <w:shd w:fill="CCEEFF" w:val="clear"/>
            <w:vAlign w:val="center"/>
          </w:tcPr>
          <w:p>
            <w:pPr>
              <w:pStyle w:val="TableContents"/>
              <w:bidi w:val="0"/>
              <w:spacing w:before="0" w:after="283"/>
              <w:jc w:val="left"/>
              <w:rPr>
                <w:b/>
              </w:rPr>
            </w:pPr>
            <w:r>
              <w:rPr>
                <w:b/>
              </w:rPr>
              <w:t>Non current assets</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0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05" w:type="dxa"/>
            <w:tcBorders/>
            <w:shd w:fill="CCEEFF" w:val="clear"/>
            <w:vAlign w:val="center"/>
          </w:tcPr>
          <w:p>
            <w:pPr>
              <w:pStyle w:val="TableContents"/>
              <w:bidi w:val="0"/>
              <w:spacing w:before="0" w:after="283"/>
              <w:jc w:val="right"/>
              <w:rPr/>
            </w:pPr>
            <w:r>
              <w:rPr/>
              <w:t> </w:t>
            </w:r>
          </w:p>
        </w:tc>
        <w:tc>
          <w:tcPr>
            <w:tcW w:w="112" w:type="dxa"/>
            <w:tcBorders/>
            <w:shd w:fill="CCEEFF" w:val="clear"/>
            <w:vAlign w:val="center"/>
          </w:tcPr>
          <w:p>
            <w:pPr>
              <w:pStyle w:val="TableContents"/>
              <w:bidi w:val="0"/>
              <w:spacing w:before="0" w:after="283"/>
              <w:jc w:val="left"/>
              <w:rPr/>
            </w:pPr>
            <w:r>
              <w:rPr/>
              <w:t> </w:t>
            </w:r>
          </w:p>
        </w:tc>
      </w:tr>
      <w:tr>
        <w:trPr/>
        <w:tc>
          <w:tcPr>
            <w:tcW w:w="7148" w:type="dxa"/>
            <w:tcBorders/>
            <w:shd w:fill="FFFFFF" w:val="clear"/>
            <w:vAlign w:val="center"/>
          </w:tcPr>
          <w:p>
            <w:pPr>
              <w:pStyle w:val="TableContents"/>
              <w:bidi w:val="0"/>
              <w:spacing w:before="0" w:after="283"/>
              <w:jc w:val="left"/>
              <w:rPr/>
            </w:pPr>
            <w:r>
              <w:rPr/>
              <w:t>Restricted cash</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05" w:type="dxa"/>
            <w:tcBorders/>
            <w:shd w:fill="FFFFFF" w:val="clear"/>
            <w:vAlign w:val="center"/>
          </w:tcPr>
          <w:p>
            <w:pPr>
              <w:pStyle w:val="TableContents"/>
              <w:bidi w:val="0"/>
              <w:spacing w:before="0" w:after="283"/>
              <w:jc w:val="right"/>
              <w:rPr/>
            </w:pPr>
            <w:r>
              <w:rPr/>
              <w:t>222,026</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05" w:type="dxa"/>
            <w:tcBorders/>
            <w:shd w:fill="FFFFFF" w:val="clear"/>
            <w:vAlign w:val="center"/>
          </w:tcPr>
          <w:p>
            <w:pPr>
              <w:pStyle w:val="TableContents"/>
              <w:bidi w:val="0"/>
              <w:spacing w:before="0" w:after="283"/>
              <w:jc w:val="right"/>
              <w:rPr/>
            </w:pPr>
            <w:r>
              <w:rPr/>
              <w:t>217,064</w:t>
            </w:r>
          </w:p>
        </w:tc>
        <w:tc>
          <w:tcPr>
            <w:tcW w:w="112" w:type="dxa"/>
            <w:tcBorders/>
            <w:shd w:fill="FFFFFF" w:val="clear"/>
            <w:vAlign w:val="center"/>
          </w:tcPr>
          <w:p>
            <w:pPr>
              <w:pStyle w:val="TableContents"/>
              <w:bidi w:val="0"/>
              <w:spacing w:before="0" w:after="283"/>
              <w:jc w:val="left"/>
              <w:rPr/>
            </w:pPr>
            <w:r>
              <w:rPr/>
              <w:t> </w:t>
            </w:r>
          </w:p>
        </w:tc>
      </w:tr>
      <w:tr>
        <w:trPr/>
        <w:tc>
          <w:tcPr>
            <w:tcW w:w="7148" w:type="dxa"/>
            <w:tcBorders/>
            <w:shd w:fill="CCEEFF" w:val="clear"/>
            <w:vAlign w:val="center"/>
          </w:tcPr>
          <w:p>
            <w:pPr>
              <w:pStyle w:val="TableContents"/>
              <w:bidi w:val="0"/>
              <w:spacing w:before="0" w:after="283"/>
              <w:jc w:val="left"/>
              <w:rPr/>
            </w:pPr>
            <w:r>
              <w:rPr/>
              <w:t>Non marketable securities</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05"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05" w:type="dxa"/>
            <w:tcBorders/>
            <w:shd w:fill="CCEEFF" w:val="clear"/>
            <w:vAlign w:val="center"/>
          </w:tcPr>
          <w:p>
            <w:pPr>
              <w:pStyle w:val="TableContents"/>
              <w:bidi w:val="0"/>
              <w:spacing w:before="0" w:after="283"/>
              <w:jc w:val="right"/>
              <w:rPr/>
            </w:pPr>
            <w:r>
              <w:rPr/>
              <w:t>269,470</w:t>
            </w:r>
          </w:p>
        </w:tc>
        <w:tc>
          <w:tcPr>
            <w:tcW w:w="112" w:type="dxa"/>
            <w:tcBorders/>
            <w:shd w:fill="CCEEFF" w:val="clear"/>
            <w:vAlign w:val="center"/>
          </w:tcPr>
          <w:p>
            <w:pPr>
              <w:pStyle w:val="TableContents"/>
              <w:bidi w:val="0"/>
              <w:spacing w:before="0" w:after="283"/>
              <w:jc w:val="left"/>
              <w:rPr/>
            </w:pPr>
            <w:r>
              <w:rPr/>
              <w:t> </w:t>
            </w:r>
          </w:p>
        </w:tc>
      </w:tr>
      <w:tr>
        <w:trPr/>
        <w:tc>
          <w:tcPr>
            <w:tcW w:w="7148" w:type="dxa"/>
            <w:tcBorders/>
            <w:shd w:fill="FFFFFF" w:val="clear"/>
            <w:vAlign w:val="center"/>
          </w:tcPr>
          <w:p>
            <w:pPr>
              <w:pStyle w:val="TableContents"/>
              <w:bidi w:val="0"/>
              <w:spacing w:before="0" w:after="283"/>
              <w:jc w:val="left"/>
              <w:rPr/>
            </w:pPr>
            <w:r>
              <w:rPr/>
              <w:t>Property and equipment, net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05" w:type="dxa"/>
            <w:tcBorders/>
            <w:shd w:fill="FFFFFF" w:val="clear"/>
            <w:vAlign w:val="center"/>
          </w:tcPr>
          <w:p>
            <w:pPr>
              <w:pStyle w:val="TableContents"/>
              <w:bidi w:val="0"/>
              <w:spacing w:before="0" w:after="283"/>
              <w:jc w:val="right"/>
              <w:rPr/>
            </w:pPr>
            <w:r>
              <w:rPr/>
              <w:t>536,997</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05" w:type="dxa"/>
            <w:tcBorders/>
            <w:shd w:fill="FFFFFF" w:val="clear"/>
            <w:vAlign w:val="center"/>
          </w:tcPr>
          <w:p>
            <w:pPr>
              <w:pStyle w:val="TableContents"/>
              <w:bidi w:val="0"/>
              <w:spacing w:before="0" w:after="283"/>
              <w:jc w:val="right"/>
              <w:rPr/>
            </w:pPr>
            <w:r>
              <w:rPr/>
              <w:t>602,923</w:t>
            </w:r>
          </w:p>
        </w:tc>
        <w:tc>
          <w:tcPr>
            <w:tcW w:w="112" w:type="dxa"/>
            <w:tcBorders/>
            <w:shd w:fill="FFFFFF" w:val="clear"/>
            <w:vAlign w:val="center"/>
          </w:tcPr>
          <w:p>
            <w:pPr>
              <w:pStyle w:val="TableContents"/>
              <w:bidi w:val="0"/>
              <w:spacing w:before="0" w:after="283"/>
              <w:jc w:val="left"/>
              <w:rPr/>
            </w:pPr>
            <w:r>
              <w:rPr/>
              <w:t> </w:t>
            </w:r>
          </w:p>
        </w:tc>
      </w:tr>
      <w:tr>
        <w:trPr/>
        <w:tc>
          <w:tcPr>
            <w:tcW w:w="7148" w:type="dxa"/>
            <w:tcBorders/>
            <w:shd w:fill="CCEEFF" w:val="clear"/>
            <w:vAlign w:val="center"/>
          </w:tcPr>
          <w:p>
            <w:pPr>
              <w:pStyle w:val="TableContents"/>
              <w:bidi w:val="0"/>
              <w:spacing w:before="0" w:after="283"/>
              <w:jc w:val="left"/>
              <w:rPr/>
            </w:pPr>
            <w:r>
              <w:rPr/>
              <w:t>Goodwill</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05" w:type="dxa"/>
            <w:tcBorders/>
            <w:shd w:fill="CCEEFF" w:val="clear"/>
            <w:vAlign w:val="center"/>
          </w:tcPr>
          <w:p>
            <w:pPr>
              <w:pStyle w:val="TableContents"/>
              <w:bidi w:val="0"/>
              <w:spacing w:before="0" w:after="283"/>
              <w:jc w:val="right"/>
              <w:rPr/>
            </w:pPr>
            <w:r>
              <w:rPr/>
              <w:t>7,616,973</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05" w:type="dxa"/>
            <w:tcBorders/>
            <w:shd w:fill="CCEEFF" w:val="clear"/>
            <w:vAlign w:val="center"/>
          </w:tcPr>
          <w:p>
            <w:pPr>
              <w:pStyle w:val="TableContents"/>
              <w:bidi w:val="0"/>
              <w:spacing w:before="0" w:after="283"/>
              <w:jc w:val="right"/>
              <w:rPr/>
            </w:pPr>
            <w:r>
              <w:rPr/>
              <w:t>2,061,553</w:t>
            </w:r>
          </w:p>
        </w:tc>
        <w:tc>
          <w:tcPr>
            <w:tcW w:w="112" w:type="dxa"/>
            <w:tcBorders/>
            <w:shd w:fill="CCEEFF" w:val="clear"/>
            <w:vAlign w:val="center"/>
          </w:tcPr>
          <w:p>
            <w:pPr>
              <w:pStyle w:val="TableContents"/>
              <w:bidi w:val="0"/>
              <w:spacing w:before="0" w:after="283"/>
              <w:jc w:val="left"/>
              <w:rPr/>
            </w:pPr>
            <w:r>
              <w:rPr/>
              <w:t> </w:t>
            </w:r>
          </w:p>
        </w:tc>
      </w:tr>
      <w:tr>
        <w:trPr/>
        <w:tc>
          <w:tcPr>
            <w:tcW w:w="7148" w:type="dxa"/>
            <w:tcBorders/>
            <w:shd w:fill="FFFFFF" w:val="clear"/>
            <w:vAlign w:val="center"/>
          </w:tcPr>
          <w:p>
            <w:pPr>
              <w:pStyle w:val="TableContents"/>
              <w:bidi w:val="0"/>
              <w:spacing w:before="0" w:after="283"/>
              <w:jc w:val="left"/>
              <w:rPr/>
            </w:pPr>
            <w:r>
              <w:rPr/>
              <w:t>Operating lease right-of-use assets</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05" w:type="dxa"/>
            <w:tcBorders/>
            <w:shd w:fill="FFFFFF" w:val="clear"/>
            <w:vAlign w:val="center"/>
          </w:tcPr>
          <w:p>
            <w:pPr>
              <w:pStyle w:val="TableContents"/>
              <w:bidi w:val="0"/>
              <w:spacing w:before="0" w:after="283"/>
              <w:jc w:val="right"/>
              <w:rPr/>
            </w:pPr>
            <w:r>
              <w:rPr/>
              <w:t>1,374,147</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05" w:type="dxa"/>
            <w:tcBorders/>
            <w:shd w:fill="FFFFFF" w:val="clear"/>
            <w:vAlign w:val="center"/>
          </w:tcPr>
          <w:p>
            <w:pPr>
              <w:pStyle w:val="TableContents"/>
              <w:bidi w:val="0"/>
              <w:spacing w:before="0" w:after="283"/>
              <w:jc w:val="right"/>
              <w:rPr/>
            </w:pPr>
            <w:r>
              <w:rPr/>
              <w:t>1,109,219</w:t>
            </w:r>
          </w:p>
        </w:tc>
        <w:tc>
          <w:tcPr>
            <w:tcW w:w="112" w:type="dxa"/>
            <w:tcBorders/>
            <w:shd w:fill="FFFFFF" w:val="clear"/>
            <w:vAlign w:val="center"/>
          </w:tcPr>
          <w:p>
            <w:pPr>
              <w:pStyle w:val="TableContents"/>
              <w:bidi w:val="0"/>
              <w:spacing w:before="0" w:after="283"/>
              <w:jc w:val="left"/>
              <w:rPr/>
            </w:pPr>
            <w:r>
              <w:rPr/>
              <w:t> </w:t>
            </w:r>
          </w:p>
        </w:tc>
      </w:tr>
      <w:tr>
        <w:trPr/>
        <w:tc>
          <w:tcPr>
            <w:tcW w:w="7148" w:type="dxa"/>
            <w:tcBorders/>
            <w:shd w:fill="CCEEFF" w:val="clear"/>
            <w:vAlign w:val="center"/>
          </w:tcPr>
          <w:p>
            <w:pPr>
              <w:pStyle w:val="TableContents"/>
              <w:bidi w:val="0"/>
              <w:spacing w:before="0" w:after="283"/>
              <w:jc w:val="left"/>
              <w:rPr/>
            </w:pPr>
            <w:r>
              <w:rPr/>
              <w:t>Intangible assets, net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05" w:type="dxa"/>
            <w:tcBorders/>
            <w:shd w:fill="CCEEFF" w:val="clear"/>
            <w:vAlign w:val="center"/>
          </w:tcPr>
          <w:p>
            <w:pPr>
              <w:pStyle w:val="TableContents"/>
              <w:bidi w:val="0"/>
              <w:spacing w:before="0" w:after="283"/>
              <w:jc w:val="right"/>
              <w:rPr/>
            </w:pPr>
            <w:r>
              <w:rPr/>
              <w:t>9,651,915</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05" w:type="dxa"/>
            <w:tcBorders/>
            <w:shd w:fill="CCEEFF" w:val="clear"/>
            <w:vAlign w:val="center"/>
          </w:tcPr>
          <w:p>
            <w:pPr>
              <w:pStyle w:val="TableContents"/>
              <w:bidi w:val="0"/>
              <w:spacing w:before="0" w:after="283"/>
              <w:jc w:val="right"/>
              <w:rPr/>
            </w:pPr>
            <w:r>
              <w:rPr/>
              <w:t>1,243,253</w:t>
            </w:r>
          </w:p>
        </w:tc>
        <w:tc>
          <w:tcPr>
            <w:tcW w:w="112" w:type="dxa"/>
            <w:tcBorders/>
            <w:shd w:fill="CCEEFF" w:val="clear"/>
            <w:vAlign w:val="center"/>
          </w:tcPr>
          <w:p>
            <w:pPr>
              <w:pStyle w:val="TableContents"/>
              <w:bidi w:val="0"/>
              <w:spacing w:before="0" w:after="283"/>
              <w:jc w:val="left"/>
              <w:rPr/>
            </w:pPr>
            <w:r>
              <w:rPr/>
              <w:t> </w:t>
            </w:r>
          </w:p>
        </w:tc>
      </w:tr>
      <w:tr>
        <w:trPr/>
        <w:tc>
          <w:tcPr>
            <w:tcW w:w="7148" w:type="dxa"/>
            <w:tcBorders/>
            <w:shd w:fill="FFFFFF" w:val="clear"/>
            <w:vAlign w:val="center"/>
          </w:tcPr>
          <w:p>
            <w:pPr>
              <w:pStyle w:val="TableContents"/>
              <w:bidi w:val="0"/>
              <w:spacing w:before="0" w:after="283"/>
              <w:jc w:val="left"/>
              <w:rPr/>
            </w:pPr>
            <w:r>
              <w:rPr/>
              <w:t>Other long-term assets</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305" w:type="dxa"/>
            <w:tcBorders>
              <w:bottom w:val="single" w:sz="8" w:space="0" w:color="000000"/>
            </w:tcBorders>
            <w:shd w:fill="FFFFFF" w:val="clear"/>
            <w:tcMar>
              <w:bottom w:w="28" w:type="dxa"/>
            </w:tcMar>
            <w:vAlign w:val="center"/>
          </w:tcPr>
          <w:p>
            <w:pPr>
              <w:pStyle w:val="TableContents"/>
              <w:bidi w:val="0"/>
              <w:spacing w:before="0" w:after="283"/>
              <w:jc w:val="right"/>
              <w:rPr/>
            </w:pPr>
            <w:r>
              <w:rPr/>
              <w:t>997,802</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305" w:type="dxa"/>
            <w:tcBorders>
              <w:bottom w:val="single" w:sz="8" w:space="0" w:color="000000"/>
            </w:tcBorders>
            <w:shd w:fill="FFFFFF" w:val="clear"/>
            <w:tcMar>
              <w:bottom w:w="28" w:type="dxa"/>
            </w:tcMar>
            <w:vAlign w:val="center"/>
          </w:tcPr>
          <w:p>
            <w:pPr>
              <w:pStyle w:val="TableContents"/>
              <w:bidi w:val="0"/>
              <w:spacing w:before="0" w:after="283"/>
              <w:jc w:val="right"/>
              <w:rPr/>
            </w:pPr>
            <w:r>
              <w:rPr/>
              <w:t>120,972</w:t>
            </w:r>
          </w:p>
        </w:tc>
        <w:tc>
          <w:tcPr>
            <w:tcW w:w="112" w:type="dxa"/>
            <w:tcBorders/>
            <w:shd w:fill="FFFFFF" w:val="clear"/>
            <w:vAlign w:val="center"/>
          </w:tcPr>
          <w:p>
            <w:pPr>
              <w:pStyle w:val="TableContents"/>
              <w:bidi w:val="0"/>
              <w:spacing w:before="0" w:after="283"/>
              <w:jc w:val="left"/>
              <w:rPr/>
            </w:pPr>
            <w:r>
              <w:rPr/>
              <w:t> </w:t>
            </w:r>
          </w:p>
        </w:tc>
      </w:tr>
      <w:tr>
        <w:trPr/>
        <w:tc>
          <w:tcPr>
            <w:tcW w:w="7148" w:type="dxa"/>
            <w:tcBorders/>
            <w:shd w:fill="CCEEFF" w:val="clear"/>
            <w:vAlign w:val="center"/>
          </w:tcPr>
          <w:p>
            <w:pPr>
              <w:pStyle w:val="TableContents"/>
              <w:bidi w:val="0"/>
              <w:spacing w:before="0" w:after="283"/>
              <w:jc w:val="left"/>
              <w:rPr>
                <w:b/>
              </w:rPr>
            </w:pPr>
            <w:r>
              <w:rPr>
                <w:b/>
              </w:rPr>
              <w:t>Total Non current assets</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305" w:type="dxa"/>
            <w:tcBorders>
              <w:bottom w:val="single" w:sz="8" w:space="0" w:color="000000"/>
            </w:tcBorders>
            <w:shd w:fill="CCEEFF" w:val="clear"/>
            <w:tcMar>
              <w:bottom w:w="28" w:type="dxa"/>
            </w:tcMar>
            <w:vAlign w:val="center"/>
          </w:tcPr>
          <w:p>
            <w:pPr>
              <w:pStyle w:val="TableContents"/>
              <w:bidi w:val="0"/>
              <w:spacing w:before="0" w:after="283"/>
              <w:jc w:val="right"/>
              <w:rPr>
                <w:b/>
              </w:rPr>
            </w:pPr>
            <w:r>
              <w:rPr>
                <w:b/>
              </w:rPr>
              <w:t>20,399,860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305" w:type="dxa"/>
            <w:tcBorders>
              <w:bottom w:val="single" w:sz="8" w:space="0" w:color="000000"/>
            </w:tcBorders>
            <w:shd w:fill="CCEEFF" w:val="clear"/>
            <w:tcMar>
              <w:bottom w:w="28" w:type="dxa"/>
            </w:tcMar>
            <w:vAlign w:val="center"/>
          </w:tcPr>
          <w:p>
            <w:pPr>
              <w:pStyle w:val="TableContents"/>
              <w:bidi w:val="0"/>
              <w:spacing w:before="0" w:after="283"/>
              <w:jc w:val="right"/>
              <w:rPr>
                <w:b/>
              </w:rPr>
            </w:pPr>
            <w:r>
              <w:rPr>
                <w:b/>
              </w:rPr>
              <w:t>5,624,454</w:t>
            </w:r>
          </w:p>
        </w:tc>
        <w:tc>
          <w:tcPr>
            <w:tcW w:w="112" w:type="dxa"/>
            <w:tcBorders/>
            <w:shd w:fill="CCEEFF" w:val="clear"/>
            <w:vAlign w:val="center"/>
          </w:tcPr>
          <w:p>
            <w:pPr>
              <w:pStyle w:val="TableContents"/>
              <w:bidi w:val="0"/>
              <w:spacing w:before="0" w:after="283"/>
              <w:jc w:val="left"/>
              <w:rPr/>
            </w:pPr>
            <w:r>
              <w:rPr/>
              <w:t> </w:t>
            </w:r>
          </w:p>
        </w:tc>
      </w:tr>
      <w:tr>
        <w:trPr/>
        <w:tc>
          <w:tcPr>
            <w:tcW w:w="7148" w:type="dxa"/>
            <w:tcBorders/>
            <w:shd w:fill="FFFFFF" w:val="clear"/>
            <w:vAlign w:val="center"/>
          </w:tcPr>
          <w:p>
            <w:pPr>
              <w:pStyle w:val="TableContents"/>
              <w:bidi w:val="0"/>
              <w:spacing w:before="0" w:after="283"/>
              <w:jc w:val="left"/>
              <w:rPr>
                <w:b/>
              </w:rPr>
            </w:pPr>
            <w:r>
              <w:rPr>
                <w:b/>
              </w:rPr>
              <w:t>Total assets</w:t>
            </w:r>
          </w:p>
        </w:tc>
        <w:tc>
          <w:tcPr>
            <w:tcW w:w="60" w:type="dxa"/>
            <w:tcBorders/>
            <w:shd w:fill="FFFFFF" w:val="clear"/>
            <w:vAlign w:val="center"/>
          </w:tcPr>
          <w:p>
            <w:pPr>
              <w:pStyle w:val="TableContents"/>
              <w:bidi w:val="0"/>
              <w:spacing w:before="0" w:after="283"/>
              <w:jc w:val="left"/>
              <w:rPr/>
            </w:pPr>
            <w:r>
              <w:rPr/>
              <w:t> </w:t>
            </w:r>
          </w:p>
        </w:tc>
        <w:tc>
          <w:tcPr>
            <w:tcW w:w="60"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1305" w:type="dxa"/>
            <w:tcBorders>
              <w:bottom w:val="double" w:sz="6" w:space="0" w:color="000000"/>
            </w:tcBorders>
            <w:shd w:fill="FFFFFF" w:val="clear"/>
            <w:tcMar>
              <w:bottom w:w="28" w:type="dxa"/>
            </w:tcMar>
            <w:vAlign w:val="center"/>
          </w:tcPr>
          <w:p>
            <w:pPr>
              <w:pStyle w:val="TableContents"/>
              <w:bidi w:val="0"/>
              <w:spacing w:before="0" w:after="283"/>
              <w:jc w:val="right"/>
              <w:rPr>
                <w:b/>
              </w:rPr>
            </w:pPr>
            <w:r>
              <w:rPr>
                <w:b/>
              </w:rPr>
              <w:t>52,658,561</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1305" w:type="dxa"/>
            <w:tcBorders>
              <w:bottom w:val="double" w:sz="6" w:space="0" w:color="000000"/>
            </w:tcBorders>
            <w:shd w:fill="FFFFFF" w:val="clear"/>
            <w:tcMar>
              <w:bottom w:w="28" w:type="dxa"/>
            </w:tcMar>
            <w:vAlign w:val="center"/>
          </w:tcPr>
          <w:p>
            <w:pPr>
              <w:pStyle w:val="TableContents"/>
              <w:bidi w:val="0"/>
              <w:spacing w:before="0" w:after="283"/>
              <w:jc w:val="right"/>
              <w:rPr>
                <w:b/>
              </w:rPr>
            </w:pPr>
            <w:r>
              <w:rPr>
                <w:b/>
              </w:rPr>
              <w:t>32,579,350</w:t>
            </w:r>
          </w:p>
        </w:tc>
        <w:tc>
          <w:tcPr>
            <w:tcW w:w="112" w:type="dxa"/>
            <w:tcBorders/>
            <w:shd w:fill="FFFFFF" w:val="clear"/>
            <w:vAlign w:val="center"/>
          </w:tcPr>
          <w:p>
            <w:pPr>
              <w:pStyle w:val="TableContents"/>
              <w:bidi w:val="0"/>
              <w:spacing w:before="0" w:after="283"/>
              <w:jc w:val="left"/>
              <w:rPr/>
            </w:pPr>
            <w:r>
              <w:rPr/>
              <w:t> </w:t>
            </w:r>
          </w:p>
        </w:tc>
      </w:tr>
      <w:tr>
        <w:trPr/>
        <w:tc>
          <w:tcPr>
            <w:tcW w:w="7148"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0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05" w:type="dxa"/>
            <w:tcBorders/>
            <w:shd w:fill="CCEEFF" w:val="clear"/>
            <w:vAlign w:val="center"/>
          </w:tcPr>
          <w:p>
            <w:pPr>
              <w:pStyle w:val="TableContents"/>
              <w:bidi w:val="0"/>
              <w:spacing w:before="0" w:after="283"/>
              <w:jc w:val="right"/>
              <w:rPr/>
            </w:pPr>
            <w:r>
              <w:rPr/>
              <w:t> </w:t>
            </w:r>
          </w:p>
        </w:tc>
        <w:tc>
          <w:tcPr>
            <w:tcW w:w="112" w:type="dxa"/>
            <w:tcBorders/>
            <w:shd w:fill="CCEEFF" w:val="clear"/>
            <w:vAlign w:val="center"/>
          </w:tcPr>
          <w:p>
            <w:pPr>
              <w:pStyle w:val="TableContents"/>
              <w:bidi w:val="0"/>
              <w:spacing w:before="0" w:after="283"/>
              <w:jc w:val="left"/>
              <w:rPr/>
            </w:pPr>
            <w:r>
              <w:rPr/>
              <w:t> </w:t>
            </w:r>
          </w:p>
        </w:tc>
      </w:tr>
      <w:tr>
        <w:trPr/>
        <w:tc>
          <w:tcPr>
            <w:tcW w:w="7148" w:type="dxa"/>
            <w:tcBorders/>
            <w:shd w:fill="FFFFFF" w:val="clear"/>
            <w:vAlign w:val="center"/>
          </w:tcPr>
          <w:p>
            <w:pPr>
              <w:pStyle w:val="TableContents"/>
              <w:bidi w:val="0"/>
              <w:spacing w:before="0" w:after="283"/>
              <w:jc w:val="left"/>
              <w:rPr>
                <w:b/>
              </w:rPr>
            </w:pPr>
            <w:r>
              <w:rPr>
                <w:b/>
              </w:rPr>
              <w:t>Liabilities and shareholders’ Equity/(Deficit)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0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05" w:type="dxa"/>
            <w:tcBorders/>
            <w:shd w:fill="FFFFFF" w:val="clear"/>
            <w:vAlign w:val="center"/>
          </w:tcPr>
          <w:p>
            <w:pPr>
              <w:pStyle w:val="TableContents"/>
              <w:bidi w:val="0"/>
              <w:spacing w:before="0" w:after="283"/>
              <w:jc w:val="right"/>
              <w:rPr/>
            </w:pPr>
            <w:r>
              <w:rPr/>
              <w:t> </w:t>
            </w:r>
          </w:p>
        </w:tc>
        <w:tc>
          <w:tcPr>
            <w:tcW w:w="112" w:type="dxa"/>
            <w:tcBorders/>
            <w:shd w:fill="FFFFFF" w:val="clear"/>
            <w:vAlign w:val="center"/>
          </w:tcPr>
          <w:p>
            <w:pPr>
              <w:pStyle w:val="TableContents"/>
              <w:bidi w:val="0"/>
              <w:spacing w:before="0" w:after="283"/>
              <w:jc w:val="left"/>
              <w:rPr/>
            </w:pPr>
            <w:r>
              <w:rPr/>
              <w:t> </w:t>
            </w:r>
          </w:p>
        </w:tc>
      </w:tr>
      <w:tr>
        <w:trPr/>
        <w:tc>
          <w:tcPr>
            <w:tcW w:w="7148" w:type="dxa"/>
            <w:tcBorders/>
            <w:shd w:fill="CCEEFF" w:val="clear"/>
            <w:vAlign w:val="center"/>
          </w:tcPr>
          <w:p>
            <w:pPr>
              <w:pStyle w:val="TableContents"/>
              <w:bidi w:val="0"/>
              <w:spacing w:before="0" w:after="283"/>
              <w:jc w:val="left"/>
              <w:rPr>
                <w:b/>
              </w:rPr>
            </w:pPr>
            <w:r>
              <w:rPr>
                <w:b/>
              </w:rPr>
              <w:t>Current liabilities</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0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05" w:type="dxa"/>
            <w:tcBorders/>
            <w:shd w:fill="CCEEFF" w:val="clear"/>
            <w:vAlign w:val="center"/>
          </w:tcPr>
          <w:p>
            <w:pPr>
              <w:pStyle w:val="TableContents"/>
              <w:bidi w:val="0"/>
              <w:spacing w:before="0" w:after="283"/>
              <w:jc w:val="right"/>
              <w:rPr/>
            </w:pPr>
            <w:r>
              <w:rPr/>
              <w:t> </w:t>
            </w:r>
          </w:p>
        </w:tc>
        <w:tc>
          <w:tcPr>
            <w:tcW w:w="112" w:type="dxa"/>
            <w:tcBorders/>
            <w:shd w:fill="CCEEFF" w:val="clear"/>
            <w:vAlign w:val="center"/>
          </w:tcPr>
          <w:p>
            <w:pPr>
              <w:pStyle w:val="TableContents"/>
              <w:bidi w:val="0"/>
              <w:spacing w:before="0" w:after="283"/>
              <w:jc w:val="left"/>
              <w:rPr/>
            </w:pPr>
            <w:r>
              <w:rPr/>
              <w:t> </w:t>
            </w:r>
          </w:p>
        </w:tc>
      </w:tr>
      <w:tr>
        <w:trPr/>
        <w:tc>
          <w:tcPr>
            <w:tcW w:w="7148" w:type="dxa"/>
            <w:tcBorders/>
            <w:shd w:fill="FFFFFF" w:val="clear"/>
            <w:vAlign w:val="center"/>
          </w:tcPr>
          <w:p>
            <w:pPr>
              <w:pStyle w:val="TableContents"/>
              <w:bidi w:val="0"/>
              <w:spacing w:before="0" w:after="283"/>
              <w:jc w:val="left"/>
              <w:rPr/>
            </w:pPr>
            <w:r>
              <w:rPr/>
              <w:t>Current portion of long-term borrowings</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05" w:type="dxa"/>
            <w:tcBorders/>
            <w:shd w:fill="FFFFFF" w:val="clear"/>
            <w:vAlign w:val="center"/>
          </w:tcPr>
          <w:p>
            <w:pPr>
              <w:pStyle w:val="TableContents"/>
              <w:bidi w:val="0"/>
              <w:spacing w:before="0" w:after="283"/>
              <w:jc w:val="right"/>
              <w:rPr/>
            </w:pPr>
            <w:r>
              <w:rPr/>
              <w:t>9,829,713</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05" w:type="dxa"/>
            <w:tcBorders/>
            <w:shd w:fill="FFFFFF" w:val="clear"/>
            <w:vAlign w:val="center"/>
          </w:tcPr>
          <w:p>
            <w:pPr>
              <w:pStyle w:val="TableContents"/>
              <w:bidi w:val="0"/>
              <w:spacing w:before="0" w:after="283"/>
              <w:jc w:val="right"/>
              <w:rPr/>
            </w:pPr>
            <w:r>
              <w:rPr/>
              <w:t>2,904,444</w:t>
            </w:r>
          </w:p>
        </w:tc>
        <w:tc>
          <w:tcPr>
            <w:tcW w:w="112" w:type="dxa"/>
            <w:tcBorders/>
            <w:shd w:fill="FFFFFF" w:val="clear"/>
            <w:vAlign w:val="center"/>
          </w:tcPr>
          <w:p>
            <w:pPr>
              <w:pStyle w:val="TableContents"/>
              <w:bidi w:val="0"/>
              <w:spacing w:before="0" w:after="283"/>
              <w:jc w:val="left"/>
              <w:rPr/>
            </w:pPr>
            <w:r>
              <w:rPr/>
              <w:t> </w:t>
            </w:r>
          </w:p>
        </w:tc>
      </w:tr>
      <w:tr>
        <w:trPr/>
        <w:tc>
          <w:tcPr>
            <w:tcW w:w="7148" w:type="dxa"/>
            <w:tcBorders/>
            <w:shd w:fill="CCEEFF" w:val="clear"/>
            <w:vAlign w:val="center"/>
          </w:tcPr>
          <w:p>
            <w:pPr>
              <w:pStyle w:val="TableContents"/>
              <w:bidi w:val="0"/>
              <w:spacing w:before="0" w:after="283"/>
              <w:jc w:val="left"/>
              <w:rPr/>
            </w:pPr>
            <w:r>
              <w:rPr/>
              <w:t>Short-term borrowings</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05" w:type="dxa"/>
            <w:tcBorders/>
            <w:shd w:fill="CCEEFF" w:val="clear"/>
            <w:vAlign w:val="center"/>
          </w:tcPr>
          <w:p>
            <w:pPr>
              <w:pStyle w:val="TableContents"/>
              <w:bidi w:val="0"/>
              <w:spacing w:before="0" w:after="283"/>
              <w:jc w:val="right"/>
              <w:rPr/>
            </w:pPr>
            <w:r>
              <w:rPr/>
              <w:t>7,843,267</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05" w:type="dxa"/>
            <w:tcBorders/>
            <w:shd w:fill="CCEEFF" w:val="clear"/>
            <w:vAlign w:val="center"/>
          </w:tcPr>
          <w:p>
            <w:pPr>
              <w:pStyle w:val="TableContents"/>
              <w:bidi w:val="0"/>
              <w:spacing w:before="0" w:after="283"/>
              <w:jc w:val="right"/>
              <w:rPr/>
            </w:pPr>
            <w:r>
              <w:rPr/>
              <w:t>19,865,645</w:t>
            </w:r>
          </w:p>
        </w:tc>
        <w:tc>
          <w:tcPr>
            <w:tcW w:w="112" w:type="dxa"/>
            <w:tcBorders/>
            <w:shd w:fill="CCEEFF" w:val="clear"/>
            <w:vAlign w:val="center"/>
          </w:tcPr>
          <w:p>
            <w:pPr>
              <w:pStyle w:val="TableContents"/>
              <w:bidi w:val="0"/>
              <w:spacing w:before="0" w:after="283"/>
              <w:jc w:val="left"/>
              <w:rPr/>
            </w:pPr>
            <w:r>
              <w:rPr/>
              <w:t> </w:t>
            </w:r>
          </w:p>
        </w:tc>
      </w:tr>
      <w:tr>
        <w:trPr/>
        <w:tc>
          <w:tcPr>
            <w:tcW w:w="7148" w:type="dxa"/>
            <w:tcBorders/>
            <w:shd w:fill="FFFFFF" w:val="clear"/>
            <w:vAlign w:val="center"/>
          </w:tcPr>
          <w:p>
            <w:pPr>
              <w:pStyle w:val="TableContents"/>
              <w:bidi w:val="0"/>
              <w:spacing w:before="0" w:after="283"/>
              <w:jc w:val="left"/>
              <w:rPr/>
            </w:pPr>
            <w:r>
              <w:rPr/>
              <w:t>Accounts payable and accrued expenses</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05" w:type="dxa"/>
            <w:tcBorders/>
            <w:shd w:fill="FFFFFF" w:val="clear"/>
            <w:vAlign w:val="center"/>
          </w:tcPr>
          <w:p>
            <w:pPr>
              <w:pStyle w:val="TableContents"/>
              <w:bidi w:val="0"/>
              <w:spacing w:before="0" w:after="283"/>
              <w:jc w:val="right"/>
              <w:rPr/>
            </w:pPr>
            <w:r>
              <w:rPr/>
              <w:t>30,245,947</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05" w:type="dxa"/>
            <w:tcBorders/>
            <w:shd w:fill="FFFFFF" w:val="clear"/>
            <w:vAlign w:val="center"/>
          </w:tcPr>
          <w:p>
            <w:pPr>
              <w:pStyle w:val="TableContents"/>
              <w:bidi w:val="0"/>
              <w:spacing w:before="0" w:after="283"/>
              <w:jc w:val="right"/>
              <w:rPr/>
            </w:pPr>
            <w:r>
              <w:rPr/>
              <w:t>30,254,010</w:t>
            </w:r>
          </w:p>
        </w:tc>
        <w:tc>
          <w:tcPr>
            <w:tcW w:w="112" w:type="dxa"/>
            <w:tcBorders/>
            <w:shd w:fill="FFFFFF" w:val="clear"/>
            <w:vAlign w:val="center"/>
          </w:tcPr>
          <w:p>
            <w:pPr>
              <w:pStyle w:val="TableContents"/>
              <w:bidi w:val="0"/>
              <w:spacing w:before="0" w:after="283"/>
              <w:jc w:val="left"/>
              <w:rPr/>
            </w:pPr>
            <w:r>
              <w:rPr/>
              <w:t> </w:t>
            </w:r>
          </w:p>
        </w:tc>
      </w:tr>
      <w:tr>
        <w:trPr/>
        <w:tc>
          <w:tcPr>
            <w:tcW w:w="7148" w:type="dxa"/>
            <w:tcBorders/>
            <w:shd w:fill="CCEEFF" w:val="clear"/>
            <w:vAlign w:val="center"/>
          </w:tcPr>
          <w:p>
            <w:pPr>
              <w:pStyle w:val="TableContents"/>
              <w:bidi w:val="0"/>
              <w:spacing w:before="0" w:after="283"/>
              <w:jc w:val="left"/>
              <w:rPr/>
            </w:pPr>
            <w:r>
              <w:rPr/>
              <w:t>Derivative warrant liabilities</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05" w:type="dxa"/>
            <w:tcBorders/>
            <w:shd w:fill="CCEEFF" w:val="clear"/>
            <w:vAlign w:val="center"/>
          </w:tcPr>
          <w:p>
            <w:pPr>
              <w:pStyle w:val="TableContents"/>
              <w:bidi w:val="0"/>
              <w:spacing w:before="0" w:after="283"/>
              <w:jc w:val="right"/>
              <w:rPr/>
            </w:pPr>
            <w:r>
              <w:rPr/>
              <w:t>1,987,003</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05" w:type="dxa"/>
            <w:tcBorders/>
            <w:shd w:fill="CCEEFF" w:val="clear"/>
            <w:vAlign w:val="center"/>
          </w:tcPr>
          <w:p>
            <w:pPr>
              <w:pStyle w:val="TableContents"/>
              <w:bidi w:val="0"/>
              <w:spacing w:before="0" w:after="283"/>
              <w:jc w:val="right"/>
              <w:rPr/>
            </w:pPr>
            <w:r>
              <w:rPr/>
              <w:t>1,489,818</w:t>
            </w:r>
          </w:p>
        </w:tc>
        <w:tc>
          <w:tcPr>
            <w:tcW w:w="112" w:type="dxa"/>
            <w:tcBorders/>
            <w:shd w:fill="CCEEFF" w:val="clear"/>
            <w:vAlign w:val="center"/>
          </w:tcPr>
          <w:p>
            <w:pPr>
              <w:pStyle w:val="TableContents"/>
              <w:bidi w:val="0"/>
              <w:spacing w:before="0" w:after="283"/>
              <w:jc w:val="left"/>
              <w:rPr/>
            </w:pPr>
            <w:r>
              <w:rPr/>
              <w:t> </w:t>
            </w:r>
          </w:p>
        </w:tc>
      </w:tr>
      <w:tr>
        <w:trPr/>
        <w:tc>
          <w:tcPr>
            <w:tcW w:w="7148" w:type="dxa"/>
            <w:tcBorders/>
            <w:shd w:fill="FFFFFF" w:val="clear"/>
            <w:vAlign w:val="center"/>
          </w:tcPr>
          <w:p>
            <w:pPr>
              <w:pStyle w:val="TableContents"/>
              <w:bidi w:val="0"/>
              <w:spacing w:before="0" w:after="283"/>
              <w:jc w:val="left"/>
              <w:rPr/>
            </w:pPr>
            <w:r>
              <w:rPr/>
              <w:t>Short-term operating lease liabilities</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05" w:type="dxa"/>
            <w:tcBorders/>
            <w:shd w:fill="FFFFFF" w:val="clear"/>
            <w:vAlign w:val="center"/>
          </w:tcPr>
          <w:p>
            <w:pPr>
              <w:pStyle w:val="TableContents"/>
              <w:bidi w:val="0"/>
              <w:spacing w:before="0" w:after="283"/>
              <w:jc w:val="right"/>
              <w:rPr/>
            </w:pPr>
            <w:r>
              <w:rPr/>
              <w:t>325,255</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05" w:type="dxa"/>
            <w:tcBorders/>
            <w:shd w:fill="FFFFFF" w:val="clear"/>
            <w:vAlign w:val="center"/>
          </w:tcPr>
          <w:p>
            <w:pPr>
              <w:pStyle w:val="TableContents"/>
              <w:bidi w:val="0"/>
              <w:spacing w:before="0" w:after="283"/>
              <w:jc w:val="right"/>
              <w:rPr/>
            </w:pPr>
            <w:r>
              <w:rPr/>
              <w:t>318,921</w:t>
            </w:r>
          </w:p>
        </w:tc>
        <w:tc>
          <w:tcPr>
            <w:tcW w:w="112" w:type="dxa"/>
            <w:tcBorders/>
            <w:shd w:fill="FFFFFF" w:val="clear"/>
            <w:vAlign w:val="center"/>
          </w:tcPr>
          <w:p>
            <w:pPr>
              <w:pStyle w:val="TableContents"/>
              <w:bidi w:val="0"/>
              <w:spacing w:before="0" w:after="283"/>
              <w:jc w:val="left"/>
              <w:rPr/>
            </w:pPr>
            <w:r>
              <w:rPr/>
              <w:t> </w:t>
            </w:r>
          </w:p>
        </w:tc>
      </w:tr>
      <w:tr>
        <w:trPr/>
        <w:tc>
          <w:tcPr>
            <w:tcW w:w="7148" w:type="dxa"/>
            <w:tcBorders/>
            <w:shd w:fill="CCEEFF" w:val="clear"/>
            <w:vAlign w:val="center"/>
          </w:tcPr>
          <w:p>
            <w:pPr>
              <w:pStyle w:val="TableContents"/>
              <w:bidi w:val="0"/>
              <w:spacing w:before="0" w:after="283"/>
              <w:jc w:val="left"/>
              <w:rPr/>
            </w:pPr>
            <w:r>
              <w:rPr/>
              <w:t>Other current liabilities</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305" w:type="dxa"/>
            <w:tcBorders>
              <w:bottom w:val="single" w:sz="8" w:space="0" w:color="000000"/>
            </w:tcBorders>
            <w:shd w:fill="CCEEFF" w:val="clear"/>
            <w:tcMar>
              <w:bottom w:w="28" w:type="dxa"/>
            </w:tcMar>
            <w:vAlign w:val="center"/>
          </w:tcPr>
          <w:p>
            <w:pPr>
              <w:pStyle w:val="TableContents"/>
              <w:bidi w:val="0"/>
              <w:spacing w:before="0" w:after="283"/>
              <w:jc w:val="right"/>
              <w:rPr/>
            </w:pPr>
            <w:r>
              <w:rPr/>
              <w:t>8,072,789</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305" w:type="dxa"/>
            <w:tcBorders>
              <w:bottom w:val="single" w:sz="8" w:space="0" w:color="000000"/>
            </w:tcBorders>
            <w:shd w:fill="CCEEFF" w:val="clear"/>
            <w:tcMar>
              <w:bottom w:w="28" w:type="dxa"/>
            </w:tcMar>
            <w:vAlign w:val="center"/>
          </w:tcPr>
          <w:p>
            <w:pPr>
              <w:pStyle w:val="TableContents"/>
              <w:bidi w:val="0"/>
              <w:spacing w:before="0" w:after="283"/>
              <w:jc w:val="right"/>
              <w:rPr/>
            </w:pPr>
            <w:r>
              <w:rPr/>
              <w:t>2,102,466</w:t>
            </w:r>
          </w:p>
        </w:tc>
        <w:tc>
          <w:tcPr>
            <w:tcW w:w="112" w:type="dxa"/>
            <w:tcBorders/>
            <w:shd w:fill="CCEEFF" w:val="clear"/>
            <w:vAlign w:val="center"/>
          </w:tcPr>
          <w:p>
            <w:pPr>
              <w:pStyle w:val="TableContents"/>
              <w:bidi w:val="0"/>
              <w:spacing w:before="0" w:after="283"/>
              <w:jc w:val="left"/>
              <w:rPr/>
            </w:pPr>
            <w:r>
              <w:rPr/>
              <w:t> </w:t>
            </w:r>
          </w:p>
        </w:tc>
      </w:tr>
      <w:tr>
        <w:trPr/>
        <w:tc>
          <w:tcPr>
            <w:tcW w:w="7148" w:type="dxa"/>
            <w:tcBorders/>
            <w:shd w:fill="FFFFFF" w:val="clear"/>
            <w:vAlign w:val="center"/>
          </w:tcPr>
          <w:p>
            <w:pPr>
              <w:pStyle w:val="TableContents"/>
              <w:bidi w:val="0"/>
              <w:spacing w:before="0" w:after="283"/>
              <w:jc w:val="left"/>
              <w:rPr>
                <w:b/>
              </w:rPr>
            </w:pPr>
            <w:r>
              <w:rPr>
                <w:b/>
              </w:rPr>
              <w:t>Total current liabilities</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05" w:type="dxa"/>
            <w:tcBorders/>
            <w:shd w:fill="FFFFFF" w:val="clear"/>
            <w:vAlign w:val="center"/>
          </w:tcPr>
          <w:p>
            <w:pPr>
              <w:pStyle w:val="TableContents"/>
              <w:bidi w:val="0"/>
              <w:spacing w:before="0" w:after="283"/>
              <w:jc w:val="right"/>
              <w:rPr>
                <w:b/>
              </w:rPr>
            </w:pPr>
            <w:r>
              <w:rPr>
                <w:b/>
              </w:rPr>
              <w:t>58,303,974</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05" w:type="dxa"/>
            <w:tcBorders/>
            <w:shd w:fill="FFFFFF" w:val="clear"/>
            <w:vAlign w:val="center"/>
          </w:tcPr>
          <w:p>
            <w:pPr>
              <w:pStyle w:val="TableContents"/>
              <w:bidi w:val="0"/>
              <w:spacing w:before="0" w:after="283"/>
              <w:jc w:val="right"/>
              <w:rPr>
                <w:b/>
              </w:rPr>
            </w:pPr>
            <w:r>
              <w:rPr>
                <w:b/>
              </w:rPr>
              <w:t>56,935,304</w:t>
            </w:r>
          </w:p>
        </w:tc>
        <w:tc>
          <w:tcPr>
            <w:tcW w:w="112" w:type="dxa"/>
            <w:tcBorders/>
            <w:shd w:fill="FFFFFF" w:val="clear"/>
            <w:vAlign w:val="center"/>
          </w:tcPr>
          <w:p>
            <w:pPr>
              <w:pStyle w:val="TableContents"/>
              <w:bidi w:val="0"/>
              <w:spacing w:before="0" w:after="283"/>
              <w:jc w:val="left"/>
              <w:rPr/>
            </w:pPr>
            <w:r>
              <w:rPr/>
              <w:t> </w:t>
            </w:r>
          </w:p>
        </w:tc>
      </w:tr>
      <w:tr>
        <w:trPr/>
        <w:tc>
          <w:tcPr>
            <w:tcW w:w="7148" w:type="dxa"/>
            <w:tcBorders/>
            <w:shd w:fill="CCEEFF" w:val="clear"/>
            <w:vAlign w:val="center"/>
          </w:tcPr>
          <w:p>
            <w:pPr>
              <w:pStyle w:val="TableContents"/>
              <w:bidi w:val="0"/>
              <w:spacing w:before="0" w:after="283"/>
              <w:jc w:val="left"/>
              <w:rPr>
                <w:b/>
              </w:rPr>
            </w:pPr>
            <w:r>
              <w:rPr>
                <w:b/>
              </w:rPr>
              <w:t>Non current liabilities</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0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05" w:type="dxa"/>
            <w:tcBorders/>
            <w:shd w:fill="CCEEFF" w:val="clear"/>
            <w:vAlign w:val="center"/>
          </w:tcPr>
          <w:p>
            <w:pPr>
              <w:pStyle w:val="TableContents"/>
              <w:bidi w:val="0"/>
              <w:spacing w:before="0" w:after="283"/>
              <w:jc w:val="right"/>
              <w:rPr/>
            </w:pPr>
            <w:r>
              <w:rPr/>
              <w:t> </w:t>
            </w:r>
          </w:p>
        </w:tc>
        <w:tc>
          <w:tcPr>
            <w:tcW w:w="112" w:type="dxa"/>
            <w:tcBorders/>
            <w:shd w:fill="CCEEFF" w:val="clear"/>
            <w:vAlign w:val="center"/>
          </w:tcPr>
          <w:p>
            <w:pPr>
              <w:pStyle w:val="TableContents"/>
              <w:bidi w:val="0"/>
              <w:spacing w:before="0" w:after="283"/>
              <w:jc w:val="left"/>
              <w:rPr/>
            </w:pPr>
            <w:r>
              <w:rPr/>
              <w:t> </w:t>
            </w:r>
          </w:p>
        </w:tc>
      </w:tr>
      <w:tr>
        <w:trPr/>
        <w:tc>
          <w:tcPr>
            <w:tcW w:w="7148" w:type="dxa"/>
            <w:tcBorders/>
            <w:shd w:fill="FFFFFF" w:val="clear"/>
            <w:vAlign w:val="center"/>
          </w:tcPr>
          <w:p>
            <w:pPr>
              <w:pStyle w:val="TableContents"/>
              <w:bidi w:val="0"/>
              <w:spacing w:before="0" w:after="283"/>
              <w:jc w:val="left"/>
              <w:rPr/>
            </w:pPr>
            <w:r>
              <w:rPr/>
              <w:t>Long-term borrowings</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05" w:type="dxa"/>
            <w:tcBorders/>
            <w:shd w:fill="FFFFFF" w:val="clear"/>
            <w:vAlign w:val="center"/>
          </w:tcPr>
          <w:p>
            <w:pPr>
              <w:pStyle w:val="TableContents"/>
              <w:bidi w:val="0"/>
              <w:spacing w:before="0" w:after="283"/>
              <w:jc w:val="right"/>
              <w:rPr/>
            </w:pPr>
            <w:r>
              <w:rPr/>
              <w:t>15,612,108</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05" w:type="dxa"/>
            <w:tcBorders/>
            <w:shd w:fill="FFFFFF" w:val="clear"/>
            <w:vAlign w:val="center"/>
          </w:tcPr>
          <w:p>
            <w:pPr>
              <w:pStyle w:val="TableContents"/>
              <w:bidi w:val="0"/>
              <w:spacing w:before="0" w:after="283"/>
              <w:jc w:val="right"/>
              <w:rPr/>
            </w:pPr>
            <w:r>
              <w:rPr/>
              <w:t>139,775</w:t>
            </w:r>
          </w:p>
        </w:tc>
        <w:tc>
          <w:tcPr>
            <w:tcW w:w="112" w:type="dxa"/>
            <w:tcBorders/>
            <w:shd w:fill="FFFFFF" w:val="clear"/>
            <w:vAlign w:val="center"/>
          </w:tcPr>
          <w:p>
            <w:pPr>
              <w:pStyle w:val="TableContents"/>
              <w:bidi w:val="0"/>
              <w:spacing w:before="0" w:after="283"/>
              <w:jc w:val="left"/>
              <w:rPr/>
            </w:pPr>
            <w:r>
              <w:rPr/>
              <w:t> </w:t>
            </w:r>
          </w:p>
        </w:tc>
      </w:tr>
      <w:tr>
        <w:trPr/>
        <w:tc>
          <w:tcPr>
            <w:tcW w:w="7148" w:type="dxa"/>
            <w:tcBorders/>
            <w:shd w:fill="CCEEFF" w:val="clear"/>
            <w:vAlign w:val="center"/>
          </w:tcPr>
          <w:p>
            <w:pPr>
              <w:pStyle w:val="TableContents"/>
              <w:bidi w:val="0"/>
              <w:spacing w:before="0" w:after="283"/>
              <w:jc w:val="left"/>
              <w:rPr/>
            </w:pPr>
            <w:r>
              <w:rPr/>
              <w:t>Long-term operating lease liabilities</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05" w:type="dxa"/>
            <w:tcBorders/>
            <w:shd w:fill="CCEEFF" w:val="clear"/>
            <w:vAlign w:val="center"/>
          </w:tcPr>
          <w:p>
            <w:pPr>
              <w:pStyle w:val="TableContents"/>
              <w:bidi w:val="0"/>
              <w:spacing w:before="0" w:after="283"/>
              <w:jc w:val="right"/>
              <w:rPr/>
            </w:pPr>
            <w:r>
              <w:rPr/>
              <w:t>699,817</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05" w:type="dxa"/>
            <w:tcBorders/>
            <w:shd w:fill="CCEEFF" w:val="clear"/>
            <w:vAlign w:val="center"/>
          </w:tcPr>
          <w:p>
            <w:pPr>
              <w:pStyle w:val="TableContents"/>
              <w:bidi w:val="0"/>
              <w:spacing w:before="0" w:after="283"/>
              <w:jc w:val="right"/>
              <w:rPr/>
            </w:pPr>
            <w:r>
              <w:rPr/>
              <w:t>628,400</w:t>
            </w:r>
          </w:p>
        </w:tc>
        <w:tc>
          <w:tcPr>
            <w:tcW w:w="112" w:type="dxa"/>
            <w:tcBorders/>
            <w:shd w:fill="CCEEFF" w:val="clear"/>
            <w:vAlign w:val="center"/>
          </w:tcPr>
          <w:p>
            <w:pPr>
              <w:pStyle w:val="TableContents"/>
              <w:bidi w:val="0"/>
              <w:spacing w:before="0" w:after="283"/>
              <w:jc w:val="left"/>
              <w:rPr/>
            </w:pPr>
            <w:r>
              <w:rPr/>
              <w:t> </w:t>
            </w:r>
          </w:p>
        </w:tc>
      </w:tr>
      <w:tr>
        <w:trPr/>
        <w:tc>
          <w:tcPr>
            <w:tcW w:w="7148" w:type="dxa"/>
            <w:tcBorders/>
            <w:shd w:fill="FFFFFF" w:val="clear"/>
            <w:vAlign w:val="center"/>
          </w:tcPr>
          <w:p>
            <w:pPr>
              <w:pStyle w:val="TableContents"/>
              <w:bidi w:val="0"/>
              <w:spacing w:before="0" w:after="283"/>
              <w:jc w:val="left"/>
              <w:rPr/>
            </w:pPr>
            <w:r>
              <w:rPr/>
              <w:t>Other long-term liabilities</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305" w:type="dxa"/>
            <w:tcBorders>
              <w:bottom w:val="single" w:sz="8" w:space="0" w:color="000000"/>
            </w:tcBorders>
            <w:shd w:fill="FFFFFF" w:val="clear"/>
            <w:tcMar>
              <w:bottom w:w="28" w:type="dxa"/>
            </w:tcMar>
            <w:vAlign w:val="center"/>
          </w:tcPr>
          <w:p>
            <w:pPr>
              <w:pStyle w:val="TableContents"/>
              <w:bidi w:val="0"/>
              <w:spacing w:before="0" w:after="283"/>
              <w:jc w:val="right"/>
              <w:rPr/>
            </w:pPr>
            <w:r>
              <w:rPr/>
              <w:t>4,561,246</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305" w:type="dxa"/>
            <w:tcBorders>
              <w:bottom w:val="single" w:sz="8" w:space="0" w:color="000000"/>
            </w:tcBorders>
            <w:shd w:fill="FFFFFF" w:val="clear"/>
            <w:tcMar>
              <w:bottom w:w="28" w:type="dxa"/>
            </w:tcMar>
            <w:vAlign w:val="center"/>
          </w:tcPr>
          <w:p>
            <w:pPr>
              <w:pStyle w:val="TableContents"/>
              <w:bidi w:val="0"/>
              <w:spacing w:before="0" w:after="283"/>
              <w:jc w:val="right"/>
              <w:rPr/>
            </w:pPr>
            <w:r>
              <w:rPr/>
              <w:t>566,651</w:t>
            </w:r>
          </w:p>
        </w:tc>
        <w:tc>
          <w:tcPr>
            <w:tcW w:w="112" w:type="dxa"/>
            <w:tcBorders/>
            <w:shd w:fill="FFFFFF" w:val="clear"/>
            <w:vAlign w:val="center"/>
          </w:tcPr>
          <w:p>
            <w:pPr>
              <w:pStyle w:val="TableContents"/>
              <w:bidi w:val="0"/>
              <w:spacing w:before="0" w:after="283"/>
              <w:jc w:val="left"/>
              <w:rPr/>
            </w:pPr>
            <w:r>
              <w:rPr/>
              <w:t> </w:t>
            </w:r>
          </w:p>
        </w:tc>
      </w:tr>
      <w:tr>
        <w:trPr/>
        <w:tc>
          <w:tcPr>
            <w:tcW w:w="7148" w:type="dxa"/>
            <w:tcBorders/>
            <w:shd w:fill="CCEEFF" w:val="clear"/>
            <w:vAlign w:val="center"/>
          </w:tcPr>
          <w:p>
            <w:pPr>
              <w:pStyle w:val="TableContents"/>
              <w:bidi w:val="0"/>
              <w:spacing w:before="0" w:after="283"/>
              <w:jc w:val="left"/>
              <w:rPr>
                <w:b/>
              </w:rPr>
            </w:pPr>
            <w:r>
              <w:rPr>
                <w:b/>
              </w:rPr>
              <w:t>Total Non current liabilities</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305" w:type="dxa"/>
            <w:tcBorders>
              <w:bottom w:val="single" w:sz="8" w:space="0" w:color="000000"/>
            </w:tcBorders>
            <w:shd w:fill="CCEEFF" w:val="clear"/>
            <w:tcMar>
              <w:bottom w:w="28" w:type="dxa"/>
            </w:tcMar>
            <w:vAlign w:val="center"/>
          </w:tcPr>
          <w:p>
            <w:pPr>
              <w:pStyle w:val="TableContents"/>
              <w:bidi w:val="0"/>
              <w:spacing w:before="0" w:after="283"/>
              <w:jc w:val="right"/>
              <w:rPr>
                <w:b/>
              </w:rPr>
            </w:pPr>
            <w:r>
              <w:rPr>
                <w:b/>
              </w:rPr>
              <w:t>20,873,171</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305" w:type="dxa"/>
            <w:tcBorders>
              <w:bottom w:val="single" w:sz="8" w:space="0" w:color="000000"/>
            </w:tcBorders>
            <w:shd w:fill="CCEEFF" w:val="clear"/>
            <w:tcMar>
              <w:bottom w:w="28" w:type="dxa"/>
            </w:tcMar>
            <w:vAlign w:val="center"/>
          </w:tcPr>
          <w:p>
            <w:pPr>
              <w:pStyle w:val="TableContents"/>
              <w:bidi w:val="0"/>
              <w:spacing w:before="0" w:after="283"/>
              <w:jc w:val="right"/>
              <w:rPr>
                <w:b/>
              </w:rPr>
            </w:pPr>
            <w:r>
              <w:rPr>
                <w:b/>
              </w:rPr>
              <w:t>1,334,826</w:t>
            </w:r>
          </w:p>
        </w:tc>
        <w:tc>
          <w:tcPr>
            <w:tcW w:w="112" w:type="dxa"/>
            <w:tcBorders/>
            <w:shd w:fill="CCEEFF" w:val="clear"/>
            <w:vAlign w:val="center"/>
          </w:tcPr>
          <w:p>
            <w:pPr>
              <w:pStyle w:val="TableContents"/>
              <w:bidi w:val="0"/>
              <w:spacing w:before="0" w:after="283"/>
              <w:jc w:val="left"/>
              <w:rPr/>
            </w:pPr>
            <w:r>
              <w:rPr/>
              <w:t> </w:t>
            </w:r>
          </w:p>
        </w:tc>
      </w:tr>
      <w:tr>
        <w:trPr/>
        <w:tc>
          <w:tcPr>
            <w:tcW w:w="7148" w:type="dxa"/>
            <w:tcBorders/>
            <w:shd w:fill="FFFFFF" w:val="clear"/>
            <w:vAlign w:val="center"/>
          </w:tcPr>
          <w:p>
            <w:pPr>
              <w:pStyle w:val="TableContents"/>
              <w:bidi w:val="0"/>
              <w:spacing w:before="0" w:after="283"/>
              <w:jc w:val="left"/>
              <w:rPr>
                <w:b/>
              </w:rPr>
            </w:pPr>
            <w:r>
              <w:rPr>
                <w:b/>
              </w:rPr>
              <w:t>Total liabilities</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305" w:type="dxa"/>
            <w:tcBorders>
              <w:bottom w:val="single" w:sz="8" w:space="0" w:color="000000"/>
            </w:tcBorders>
            <w:shd w:fill="FFFFFF" w:val="clear"/>
            <w:tcMar>
              <w:bottom w:w="28" w:type="dxa"/>
            </w:tcMar>
            <w:vAlign w:val="center"/>
          </w:tcPr>
          <w:p>
            <w:pPr>
              <w:pStyle w:val="TableContents"/>
              <w:bidi w:val="0"/>
              <w:spacing w:before="0" w:after="283"/>
              <w:jc w:val="right"/>
              <w:rPr>
                <w:b/>
              </w:rPr>
            </w:pPr>
            <w:r>
              <w:rPr>
                <w:b/>
              </w:rPr>
              <w:t>79,177,145</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305" w:type="dxa"/>
            <w:tcBorders>
              <w:bottom w:val="single" w:sz="8" w:space="0" w:color="000000"/>
            </w:tcBorders>
            <w:shd w:fill="FFFFFF" w:val="clear"/>
            <w:tcMar>
              <w:bottom w:w="28" w:type="dxa"/>
            </w:tcMar>
            <w:vAlign w:val="center"/>
          </w:tcPr>
          <w:p>
            <w:pPr>
              <w:pStyle w:val="TableContents"/>
              <w:bidi w:val="0"/>
              <w:spacing w:before="0" w:after="283"/>
              <w:jc w:val="right"/>
              <w:rPr>
                <w:b/>
              </w:rPr>
            </w:pPr>
            <w:r>
              <w:rPr>
                <w:b/>
              </w:rPr>
              <w:t>58,270,130</w:t>
            </w:r>
          </w:p>
        </w:tc>
        <w:tc>
          <w:tcPr>
            <w:tcW w:w="112" w:type="dxa"/>
            <w:tcBorders/>
            <w:shd w:fill="FFFFFF" w:val="clear"/>
            <w:vAlign w:val="center"/>
          </w:tcPr>
          <w:p>
            <w:pPr>
              <w:pStyle w:val="TableContents"/>
              <w:bidi w:val="0"/>
              <w:spacing w:before="0" w:after="283"/>
              <w:jc w:val="left"/>
              <w:rPr/>
            </w:pPr>
            <w:r>
              <w:rPr/>
              <w:t> </w:t>
            </w:r>
          </w:p>
        </w:tc>
      </w:tr>
      <w:tr>
        <w:trPr/>
        <w:tc>
          <w:tcPr>
            <w:tcW w:w="7148"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0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05" w:type="dxa"/>
            <w:tcBorders/>
            <w:shd w:fill="CCEEFF" w:val="clear"/>
            <w:vAlign w:val="center"/>
          </w:tcPr>
          <w:p>
            <w:pPr>
              <w:pStyle w:val="TableContents"/>
              <w:bidi w:val="0"/>
              <w:spacing w:before="0" w:after="283"/>
              <w:jc w:val="right"/>
              <w:rPr/>
            </w:pPr>
            <w:r>
              <w:rPr/>
              <w:t> </w:t>
            </w:r>
          </w:p>
        </w:tc>
        <w:tc>
          <w:tcPr>
            <w:tcW w:w="112" w:type="dxa"/>
            <w:tcBorders/>
            <w:shd w:fill="CCEEFF" w:val="clear"/>
            <w:vAlign w:val="center"/>
          </w:tcPr>
          <w:p>
            <w:pPr>
              <w:pStyle w:val="TableContents"/>
              <w:bidi w:val="0"/>
              <w:spacing w:before="0" w:after="283"/>
              <w:jc w:val="left"/>
              <w:rPr/>
            </w:pPr>
            <w:r>
              <w:rPr/>
              <w:t> </w:t>
            </w:r>
          </w:p>
        </w:tc>
      </w:tr>
      <w:tr>
        <w:trPr/>
        <w:tc>
          <w:tcPr>
            <w:tcW w:w="7148" w:type="dxa"/>
            <w:tcBorders/>
            <w:shd w:fill="FFFFFF" w:val="clear"/>
            <w:vAlign w:val="center"/>
          </w:tcPr>
          <w:p>
            <w:pPr>
              <w:pStyle w:val="TableContents"/>
              <w:bidi w:val="0"/>
              <w:spacing w:before="0" w:after="283"/>
              <w:jc w:val="left"/>
              <w:rPr>
                <w:b/>
              </w:rPr>
            </w:pPr>
            <w:r>
              <w:rPr>
                <w:b/>
              </w:rPr>
              <w:t>Commitments and contingencies (refer note 22)</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0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05" w:type="dxa"/>
            <w:tcBorders/>
            <w:shd w:fill="FFFFFF" w:val="clear"/>
            <w:vAlign w:val="center"/>
          </w:tcPr>
          <w:p>
            <w:pPr>
              <w:pStyle w:val="TableContents"/>
              <w:bidi w:val="0"/>
              <w:spacing w:before="0" w:after="283"/>
              <w:jc w:val="right"/>
              <w:rPr/>
            </w:pPr>
            <w:r>
              <w:rPr/>
              <w:t> </w:t>
            </w:r>
          </w:p>
        </w:tc>
        <w:tc>
          <w:tcPr>
            <w:tcW w:w="112" w:type="dxa"/>
            <w:tcBorders/>
            <w:shd w:fill="FFFFFF" w:val="clear"/>
            <w:vAlign w:val="center"/>
          </w:tcPr>
          <w:p>
            <w:pPr>
              <w:pStyle w:val="TableContents"/>
              <w:bidi w:val="0"/>
              <w:spacing w:before="0" w:after="283"/>
              <w:jc w:val="left"/>
              <w:rPr/>
            </w:pPr>
            <w:r>
              <w:rPr/>
              <w:t> </w:t>
            </w:r>
          </w:p>
        </w:tc>
      </w:tr>
      <w:tr>
        <w:trPr/>
        <w:tc>
          <w:tcPr>
            <w:tcW w:w="7148" w:type="dxa"/>
            <w:tcBorders/>
            <w:shd w:fill="CCEEFF" w:val="clear"/>
            <w:vAlign w:val="center"/>
          </w:tcPr>
          <w:p>
            <w:pPr>
              <w:pStyle w:val="TableContents"/>
              <w:bidi w:val="0"/>
              <w:spacing w:before="0" w:after="283"/>
              <w:jc w:val="left"/>
              <w:rPr>
                <w:b/>
              </w:rPr>
            </w:pPr>
            <w:r>
              <w:rPr>
                <w:b/>
              </w:rPr>
              <w:t>Shareholders’ Equity/(Deficit)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0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05" w:type="dxa"/>
            <w:tcBorders/>
            <w:shd w:fill="CCEEFF" w:val="clear"/>
            <w:vAlign w:val="center"/>
          </w:tcPr>
          <w:p>
            <w:pPr>
              <w:pStyle w:val="TableContents"/>
              <w:bidi w:val="0"/>
              <w:spacing w:before="0" w:after="283"/>
              <w:jc w:val="right"/>
              <w:rPr/>
            </w:pPr>
            <w:r>
              <w:rPr/>
              <w:t> </w:t>
            </w:r>
          </w:p>
        </w:tc>
        <w:tc>
          <w:tcPr>
            <w:tcW w:w="112" w:type="dxa"/>
            <w:tcBorders/>
            <w:shd w:fill="CCEEFF" w:val="clear"/>
            <w:vAlign w:val="center"/>
          </w:tcPr>
          <w:p>
            <w:pPr>
              <w:pStyle w:val="TableContents"/>
              <w:bidi w:val="0"/>
              <w:spacing w:before="0" w:after="283"/>
              <w:jc w:val="left"/>
              <w:rPr/>
            </w:pPr>
            <w:r>
              <w:rPr/>
              <w:t> </w:t>
            </w:r>
          </w:p>
        </w:tc>
      </w:tr>
      <w:tr>
        <w:trPr/>
        <w:tc>
          <w:tcPr>
            <w:tcW w:w="7148" w:type="dxa"/>
            <w:tcBorders/>
            <w:shd w:fill="FFFFFF" w:val="clear"/>
            <w:vAlign w:val="center"/>
          </w:tcPr>
          <w:p>
            <w:pPr>
              <w:pStyle w:val="TableContents"/>
              <w:bidi w:val="0"/>
              <w:spacing w:before="0" w:after="283"/>
              <w:jc w:val="left"/>
              <w:rPr/>
            </w:pPr>
            <w:r>
              <w:rPr/>
              <w:t>Ordinary Shares and additional paid in capital, $0.0001 par value per share, 220,000,000 shares authorized as of March 31, 2026 and March 31, 2025; 79,695,672 and 74,290,986 shares outstanding as of March 31, 2026 and March 31, 2025 respectively</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05" w:type="dxa"/>
            <w:tcBorders/>
            <w:shd w:fill="FFFFFF" w:val="clear"/>
            <w:vAlign w:val="center"/>
          </w:tcPr>
          <w:p>
            <w:pPr>
              <w:pStyle w:val="TableContents"/>
              <w:bidi w:val="0"/>
              <w:spacing w:before="0" w:after="283"/>
              <w:jc w:val="right"/>
              <w:rPr/>
            </w:pPr>
            <w:r>
              <w:rPr/>
              <w:t>112,128,293</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05" w:type="dxa"/>
            <w:tcBorders/>
            <w:shd w:fill="FFFFFF" w:val="clear"/>
            <w:vAlign w:val="center"/>
          </w:tcPr>
          <w:p>
            <w:pPr>
              <w:pStyle w:val="TableContents"/>
              <w:bidi w:val="0"/>
              <w:spacing w:before="0" w:after="283"/>
              <w:jc w:val="right"/>
              <w:rPr/>
            </w:pPr>
            <w:r>
              <w:rPr/>
              <w:t>95,501,291</w:t>
            </w:r>
          </w:p>
        </w:tc>
        <w:tc>
          <w:tcPr>
            <w:tcW w:w="112" w:type="dxa"/>
            <w:tcBorders/>
            <w:shd w:fill="FFFFFF" w:val="clear"/>
            <w:vAlign w:val="center"/>
          </w:tcPr>
          <w:p>
            <w:pPr>
              <w:pStyle w:val="TableContents"/>
              <w:bidi w:val="0"/>
              <w:spacing w:before="0" w:after="283"/>
              <w:jc w:val="left"/>
              <w:rPr/>
            </w:pPr>
            <w:r>
              <w:rPr/>
              <w:t> </w:t>
            </w:r>
          </w:p>
        </w:tc>
      </w:tr>
      <w:tr>
        <w:trPr/>
        <w:tc>
          <w:tcPr>
            <w:tcW w:w="7148" w:type="dxa"/>
            <w:tcBorders/>
            <w:shd w:fill="CCEEFF" w:val="clear"/>
            <w:vAlign w:val="center"/>
          </w:tcPr>
          <w:p>
            <w:pPr>
              <w:pStyle w:val="TableContents"/>
              <w:bidi w:val="0"/>
              <w:spacing w:before="0" w:after="283"/>
              <w:jc w:val="left"/>
              <w:rPr/>
            </w:pPr>
            <w:r>
              <w:rPr/>
              <w:t>Accumulated deficit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05" w:type="dxa"/>
            <w:tcBorders/>
            <w:shd w:fill="CCEEFF" w:val="clear"/>
            <w:vAlign w:val="center"/>
          </w:tcPr>
          <w:p>
            <w:pPr>
              <w:pStyle w:val="TableContents"/>
              <w:bidi w:val="0"/>
              <w:spacing w:before="0" w:after="283"/>
              <w:jc w:val="right"/>
              <w:rPr/>
            </w:pPr>
            <w:r>
              <w:rPr/>
              <w:t>(246,224,660</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05" w:type="dxa"/>
            <w:tcBorders/>
            <w:shd w:fill="CCEEFF" w:val="clear"/>
            <w:vAlign w:val="center"/>
          </w:tcPr>
          <w:p>
            <w:pPr>
              <w:pStyle w:val="TableContents"/>
              <w:bidi w:val="0"/>
              <w:spacing w:before="0" w:after="283"/>
              <w:jc w:val="right"/>
              <w:rPr/>
            </w:pPr>
            <w:r>
              <w:rPr/>
              <w:t>(223,826,442</w:t>
            </w:r>
          </w:p>
        </w:tc>
        <w:tc>
          <w:tcPr>
            <w:tcW w:w="112" w:type="dxa"/>
            <w:tcBorders/>
            <w:shd w:fill="CCEEFF" w:val="clear"/>
            <w:vAlign w:val="center"/>
          </w:tcPr>
          <w:p>
            <w:pPr>
              <w:pStyle w:val="TableContents"/>
              <w:bidi w:val="0"/>
              <w:spacing w:before="0" w:after="283"/>
              <w:jc w:val="left"/>
              <w:rPr/>
            </w:pPr>
            <w:r>
              <w:rPr/>
              <w:t>)</w:t>
            </w:r>
          </w:p>
        </w:tc>
      </w:tr>
      <w:tr>
        <w:trPr/>
        <w:tc>
          <w:tcPr>
            <w:tcW w:w="7148" w:type="dxa"/>
            <w:tcBorders/>
            <w:shd w:fill="FFFFFF" w:val="clear"/>
            <w:vAlign w:val="center"/>
          </w:tcPr>
          <w:p>
            <w:pPr>
              <w:pStyle w:val="TableContents"/>
              <w:bidi w:val="0"/>
              <w:spacing w:before="0" w:after="283"/>
              <w:jc w:val="left"/>
              <w:rPr/>
            </w:pPr>
            <w:r>
              <w:rPr/>
              <w:t>Accumulated other comprehensive income/(loss)</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05" w:type="dxa"/>
            <w:tcBorders/>
            <w:shd w:fill="FFFFFF" w:val="clear"/>
            <w:vAlign w:val="center"/>
          </w:tcPr>
          <w:p>
            <w:pPr>
              <w:pStyle w:val="TableContents"/>
              <w:bidi w:val="0"/>
              <w:spacing w:before="0" w:after="283"/>
              <w:jc w:val="right"/>
              <w:rPr/>
            </w:pPr>
            <w:r>
              <w:rPr/>
              <w:t>(1,299,868</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05" w:type="dxa"/>
            <w:tcBorders/>
            <w:shd w:fill="FFFFFF" w:val="clear"/>
            <w:vAlign w:val="center"/>
          </w:tcPr>
          <w:p>
            <w:pPr>
              <w:pStyle w:val="TableContents"/>
              <w:bidi w:val="0"/>
              <w:spacing w:before="0" w:after="283"/>
              <w:jc w:val="right"/>
              <w:rPr/>
            </w:pPr>
            <w:r>
              <w:rPr/>
              <w:t>(468,859</w:t>
            </w:r>
          </w:p>
        </w:tc>
        <w:tc>
          <w:tcPr>
            <w:tcW w:w="112" w:type="dxa"/>
            <w:tcBorders/>
            <w:shd w:fill="FFFFFF" w:val="clear"/>
            <w:vAlign w:val="center"/>
          </w:tcPr>
          <w:p>
            <w:pPr>
              <w:pStyle w:val="TableContents"/>
              <w:bidi w:val="0"/>
              <w:spacing w:before="0" w:after="283"/>
              <w:jc w:val="left"/>
              <w:rPr/>
            </w:pPr>
            <w:r>
              <w:rPr/>
              <w:t>)</w:t>
            </w:r>
          </w:p>
        </w:tc>
      </w:tr>
      <w:tr>
        <w:trPr/>
        <w:tc>
          <w:tcPr>
            <w:tcW w:w="7148" w:type="dxa"/>
            <w:tcBorders/>
            <w:shd w:fill="CCEEFF" w:val="clear"/>
            <w:vAlign w:val="center"/>
          </w:tcPr>
          <w:p>
            <w:pPr>
              <w:pStyle w:val="TableContents"/>
              <w:bidi w:val="0"/>
              <w:spacing w:before="0" w:after="283"/>
              <w:jc w:val="left"/>
              <w:rPr/>
            </w:pPr>
            <w:r>
              <w:rPr/>
              <w:t>Other components of equity</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305" w:type="dxa"/>
            <w:tcBorders>
              <w:bottom w:val="single" w:sz="8" w:space="0" w:color="000000"/>
            </w:tcBorders>
            <w:shd w:fill="CCEEFF" w:val="clear"/>
            <w:tcMar>
              <w:bottom w:w="28" w:type="dxa"/>
            </w:tcMar>
            <w:vAlign w:val="center"/>
          </w:tcPr>
          <w:p>
            <w:pPr>
              <w:pStyle w:val="TableContents"/>
              <w:bidi w:val="0"/>
              <w:spacing w:before="0" w:after="283"/>
              <w:jc w:val="right"/>
              <w:rPr/>
            </w:pPr>
            <w:r>
              <w:rPr/>
              <w:t>105,747,998</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305" w:type="dxa"/>
            <w:tcBorders>
              <w:bottom w:val="single" w:sz="8" w:space="0" w:color="000000"/>
            </w:tcBorders>
            <w:shd w:fill="CCEEFF" w:val="clear"/>
            <w:tcMar>
              <w:bottom w:w="28" w:type="dxa"/>
            </w:tcMar>
            <w:vAlign w:val="center"/>
          </w:tcPr>
          <w:p>
            <w:pPr>
              <w:pStyle w:val="TableContents"/>
              <w:bidi w:val="0"/>
              <w:spacing w:before="0" w:after="283"/>
              <w:jc w:val="right"/>
              <w:rPr/>
            </w:pPr>
            <w:r>
              <w:rPr/>
              <w:t>103,720,113</w:t>
            </w:r>
          </w:p>
        </w:tc>
        <w:tc>
          <w:tcPr>
            <w:tcW w:w="112" w:type="dxa"/>
            <w:tcBorders/>
            <w:shd w:fill="CCEEFF" w:val="clear"/>
            <w:vAlign w:val="center"/>
          </w:tcPr>
          <w:p>
            <w:pPr>
              <w:pStyle w:val="TableContents"/>
              <w:bidi w:val="0"/>
              <w:spacing w:before="0" w:after="283"/>
              <w:jc w:val="left"/>
              <w:rPr/>
            </w:pPr>
            <w:r>
              <w:rPr/>
              <w:t> </w:t>
            </w:r>
          </w:p>
        </w:tc>
      </w:tr>
      <w:tr>
        <w:trPr/>
        <w:tc>
          <w:tcPr>
            <w:tcW w:w="7148" w:type="dxa"/>
            <w:tcBorders/>
            <w:shd w:fill="FFFFFF" w:val="clear"/>
            <w:vAlign w:val="center"/>
          </w:tcPr>
          <w:p>
            <w:pPr>
              <w:pStyle w:val="TableContents"/>
              <w:bidi w:val="0"/>
              <w:spacing w:before="0" w:after="283"/>
              <w:jc w:val="left"/>
              <w:rPr>
                <w:b/>
              </w:rPr>
            </w:pPr>
            <w:r>
              <w:rPr>
                <w:b/>
              </w:rPr>
              <w:t>Total shareholders’ deficit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05" w:type="dxa"/>
            <w:tcBorders/>
            <w:shd w:fill="FFFFFF" w:val="clear"/>
            <w:vAlign w:val="center"/>
          </w:tcPr>
          <w:p>
            <w:pPr>
              <w:pStyle w:val="TableContents"/>
              <w:bidi w:val="0"/>
              <w:spacing w:before="0" w:after="283"/>
              <w:jc w:val="right"/>
              <w:rPr>
                <w:b/>
              </w:rPr>
            </w:pPr>
            <w:r>
              <w:rPr>
                <w:b/>
              </w:rPr>
              <w:t>(29,648,237</w:t>
            </w:r>
          </w:p>
        </w:tc>
        <w:tc>
          <w:tcPr>
            <w:tcW w:w="95" w:type="dxa"/>
            <w:tcBorders/>
            <w:shd w:fill="FFFFFF" w:val="clear"/>
            <w:vAlign w:val="center"/>
          </w:tcPr>
          <w:p>
            <w:pPr>
              <w:pStyle w:val="TableContents"/>
              <w:bidi w:val="0"/>
              <w:spacing w:before="0" w:after="283"/>
              <w:jc w:val="left"/>
              <w:rPr>
                <w:b/>
              </w:rPr>
            </w:pPr>
            <w:r>
              <w:rPr>
                <w:b/>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05" w:type="dxa"/>
            <w:tcBorders/>
            <w:shd w:fill="FFFFFF" w:val="clear"/>
            <w:vAlign w:val="center"/>
          </w:tcPr>
          <w:p>
            <w:pPr>
              <w:pStyle w:val="TableContents"/>
              <w:bidi w:val="0"/>
              <w:spacing w:before="0" w:after="283"/>
              <w:jc w:val="right"/>
              <w:rPr>
                <w:b/>
              </w:rPr>
            </w:pPr>
            <w:r>
              <w:rPr>
                <w:b/>
              </w:rPr>
              <w:t>(25,073,897</w:t>
            </w:r>
          </w:p>
        </w:tc>
        <w:tc>
          <w:tcPr>
            <w:tcW w:w="112" w:type="dxa"/>
            <w:tcBorders/>
            <w:shd w:fill="FFFFFF" w:val="clear"/>
            <w:vAlign w:val="center"/>
          </w:tcPr>
          <w:p>
            <w:pPr>
              <w:pStyle w:val="TableContents"/>
              <w:bidi w:val="0"/>
              <w:spacing w:before="0" w:after="283"/>
              <w:jc w:val="left"/>
              <w:rPr>
                <w:b/>
              </w:rPr>
            </w:pPr>
            <w:r>
              <w:rPr>
                <w:b/>
              </w:rPr>
              <w:t>)</w:t>
            </w:r>
          </w:p>
        </w:tc>
      </w:tr>
      <w:tr>
        <w:trPr/>
        <w:tc>
          <w:tcPr>
            <w:tcW w:w="7148" w:type="dxa"/>
            <w:tcBorders/>
            <w:shd w:fill="CCEEFF" w:val="clear"/>
            <w:vAlign w:val="center"/>
          </w:tcPr>
          <w:p>
            <w:pPr>
              <w:pStyle w:val="TableContents"/>
              <w:bidi w:val="0"/>
              <w:spacing w:before="0" w:after="283"/>
              <w:jc w:val="left"/>
              <w:rPr/>
            </w:pPr>
            <w:r>
              <w:rPr/>
              <w:t>Non-controlling interest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05" w:type="dxa"/>
            <w:tcBorders/>
            <w:shd w:fill="CCEEFF" w:val="clear"/>
            <w:vAlign w:val="center"/>
          </w:tcPr>
          <w:p>
            <w:pPr>
              <w:pStyle w:val="TableContents"/>
              <w:bidi w:val="0"/>
              <w:spacing w:before="0" w:after="283"/>
              <w:jc w:val="right"/>
              <w:rPr/>
            </w:pPr>
            <w:r>
              <w:rPr/>
              <w:t>3,129,653</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05" w:type="dxa"/>
            <w:tcBorders/>
            <w:shd w:fill="CCEEFF" w:val="clear"/>
            <w:vAlign w:val="center"/>
          </w:tcPr>
          <w:p>
            <w:pPr>
              <w:pStyle w:val="TableContents"/>
              <w:bidi w:val="0"/>
              <w:spacing w:before="0" w:after="283"/>
              <w:jc w:val="right"/>
              <w:rPr/>
            </w:pPr>
            <w:r>
              <w:rPr/>
              <w:t>(616,883</w:t>
            </w:r>
          </w:p>
        </w:tc>
        <w:tc>
          <w:tcPr>
            <w:tcW w:w="112" w:type="dxa"/>
            <w:tcBorders/>
            <w:shd w:fill="CCEEFF" w:val="clear"/>
            <w:vAlign w:val="center"/>
          </w:tcPr>
          <w:p>
            <w:pPr>
              <w:pStyle w:val="TableContents"/>
              <w:bidi w:val="0"/>
              <w:spacing w:before="0" w:after="283"/>
              <w:jc w:val="left"/>
              <w:rPr/>
            </w:pPr>
            <w:r>
              <w:rPr/>
              <w:t>)</w:t>
            </w:r>
          </w:p>
        </w:tc>
      </w:tr>
      <w:tr>
        <w:trPr/>
        <w:tc>
          <w:tcPr>
            <w:tcW w:w="7148" w:type="dxa"/>
            <w:tcBorders/>
            <w:shd w:fill="FFFFFF" w:val="clear"/>
            <w:vAlign w:val="center"/>
          </w:tcPr>
          <w:p>
            <w:pPr>
              <w:pStyle w:val="TableContents"/>
              <w:bidi w:val="0"/>
              <w:spacing w:before="0" w:after="283"/>
              <w:jc w:val="left"/>
              <w:rPr>
                <w:b/>
              </w:rPr>
            </w:pPr>
            <w:r>
              <w:rPr>
                <w:b/>
              </w:rPr>
              <w:t>Total deficit</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305" w:type="dxa"/>
            <w:tcBorders>
              <w:bottom w:val="single" w:sz="8" w:space="0" w:color="000000"/>
            </w:tcBorders>
            <w:shd w:fill="FFFFFF" w:val="clear"/>
            <w:tcMar>
              <w:bottom w:w="28" w:type="dxa"/>
            </w:tcMar>
            <w:vAlign w:val="center"/>
          </w:tcPr>
          <w:p>
            <w:pPr>
              <w:pStyle w:val="TableContents"/>
              <w:bidi w:val="0"/>
              <w:spacing w:before="0" w:after="283"/>
              <w:jc w:val="right"/>
              <w:rPr>
                <w:b/>
              </w:rPr>
            </w:pPr>
            <w:r>
              <w:rPr>
                <w:b/>
              </w:rPr>
              <w:t>(26,518,584</w:t>
            </w:r>
          </w:p>
        </w:tc>
        <w:tc>
          <w:tcPr>
            <w:tcW w:w="95" w:type="dxa"/>
            <w:tcBorders/>
            <w:shd w:fill="FFFFFF" w:val="clear"/>
            <w:vAlign w:val="center"/>
          </w:tcPr>
          <w:p>
            <w:pPr>
              <w:pStyle w:val="TableContents"/>
              <w:bidi w:val="0"/>
              <w:spacing w:before="0" w:after="283"/>
              <w:jc w:val="left"/>
              <w:rPr>
                <w:b/>
              </w:rPr>
            </w:pPr>
            <w:r>
              <w:rPr>
                <w:b/>
              </w:rPr>
              <w:t>)</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305" w:type="dxa"/>
            <w:tcBorders>
              <w:bottom w:val="single" w:sz="8" w:space="0" w:color="000000"/>
            </w:tcBorders>
            <w:shd w:fill="FFFFFF" w:val="clear"/>
            <w:tcMar>
              <w:bottom w:w="28" w:type="dxa"/>
            </w:tcMar>
            <w:vAlign w:val="center"/>
          </w:tcPr>
          <w:p>
            <w:pPr>
              <w:pStyle w:val="TableContents"/>
              <w:bidi w:val="0"/>
              <w:spacing w:before="0" w:after="283"/>
              <w:jc w:val="right"/>
              <w:rPr>
                <w:b/>
              </w:rPr>
            </w:pPr>
            <w:r>
              <w:rPr>
                <w:b/>
              </w:rPr>
              <w:t>(25,690,780</w:t>
            </w:r>
          </w:p>
        </w:tc>
        <w:tc>
          <w:tcPr>
            <w:tcW w:w="112" w:type="dxa"/>
            <w:tcBorders/>
            <w:shd w:fill="FFFFFF" w:val="clear"/>
            <w:vAlign w:val="center"/>
          </w:tcPr>
          <w:p>
            <w:pPr>
              <w:pStyle w:val="TableContents"/>
              <w:bidi w:val="0"/>
              <w:spacing w:before="0" w:after="283"/>
              <w:jc w:val="left"/>
              <w:rPr>
                <w:b/>
              </w:rPr>
            </w:pPr>
            <w:r>
              <w:rPr>
                <w:b/>
              </w:rPr>
              <w:t>)</w:t>
            </w:r>
          </w:p>
        </w:tc>
      </w:tr>
      <w:tr>
        <w:trPr/>
        <w:tc>
          <w:tcPr>
            <w:tcW w:w="7148" w:type="dxa"/>
            <w:tcBorders/>
            <w:shd w:fill="CCEEFF" w:val="clear"/>
            <w:vAlign w:val="center"/>
          </w:tcPr>
          <w:p>
            <w:pPr>
              <w:pStyle w:val="TableContents"/>
              <w:bidi w:val="0"/>
              <w:spacing w:before="0" w:after="283"/>
              <w:jc w:val="left"/>
              <w:rPr>
                <w:b/>
              </w:rPr>
            </w:pPr>
            <w:r>
              <w:rPr>
                <w:b/>
              </w:rPr>
              <w:t>Total liabilities and Total Deficit</w:t>
            </w:r>
          </w:p>
        </w:tc>
        <w:tc>
          <w:tcPr>
            <w:tcW w:w="60" w:type="dxa"/>
            <w:tcBorders/>
            <w:shd w:fill="CCEEFF" w:val="clear"/>
            <w:vAlign w:val="center"/>
          </w:tcPr>
          <w:p>
            <w:pPr>
              <w:pStyle w:val="TableContents"/>
              <w:bidi w:val="0"/>
              <w:spacing w:before="0" w:after="283"/>
              <w:jc w:val="left"/>
              <w:rPr/>
            </w:pPr>
            <w:r>
              <w:rPr/>
              <w:t> </w:t>
            </w:r>
          </w:p>
        </w:tc>
        <w:tc>
          <w:tcPr>
            <w:tcW w:w="6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1305" w:type="dxa"/>
            <w:tcBorders>
              <w:bottom w:val="double" w:sz="6" w:space="0" w:color="000000"/>
            </w:tcBorders>
            <w:shd w:fill="CCEEFF" w:val="clear"/>
            <w:tcMar>
              <w:bottom w:w="28" w:type="dxa"/>
            </w:tcMar>
            <w:vAlign w:val="center"/>
          </w:tcPr>
          <w:p>
            <w:pPr>
              <w:pStyle w:val="TableContents"/>
              <w:bidi w:val="0"/>
              <w:spacing w:before="0" w:after="283"/>
              <w:jc w:val="right"/>
              <w:rPr>
                <w:b/>
              </w:rPr>
            </w:pPr>
            <w:r>
              <w:rPr>
                <w:b/>
              </w:rPr>
              <w:t>52,658,561</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1305" w:type="dxa"/>
            <w:tcBorders>
              <w:bottom w:val="double" w:sz="6" w:space="0" w:color="000000"/>
            </w:tcBorders>
            <w:shd w:fill="CCEEFF" w:val="clear"/>
            <w:tcMar>
              <w:bottom w:w="28" w:type="dxa"/>
            </w:tcMar>
            <w:vAlign w:val="center"/>
          </w:tcPr>
          <w:p>
            <w:pPr>
              <w:pStyle w:val="TableContents"/>
              <w:bidi w:val="0"/>
              <w:spacing w:before="0" w:after="283"/>
              <w:jc w:val="right"/>
              <w:rPr>
                <w:b/>
              </w:rPr>
            </w:pPr>
            <w:r>
              <w:rPr>
                <w:b/>
              </w:rPr>
              <w:t>32,579,350</w:t>
            </w:r>
          </w:p>
        </w:tc>
        <w:tc>
          <w:tcPr>
            <w:tcW w:w="112"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accompanying notes are an integral part of these consolidated financial statements.</w:t>
      </w:r>
    </w:p>
    <w:p>
      <w:pPr>
        <w:pStyle w:val="TextBody"/>
        <w:bidi w:val="0"/>
        <w:spacing w:before="0" w:after="0"/>
        <w:ind w:left="0" w:right="0" w:hanging="0"/>
        <w:jc w:val="center"/>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center"/>
              <w:rPr/>
            </w:pPr>
            <w:r>
              <w:rPr/>
              <w:t> </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right"/>
              <w:rPr/>
            </w:pPr>
            <w:r>
              <w:rPr/>
              <w:t> </w:t>
            </w:r>
          </w:p>
        </w:tc>
      </w:tr>
    </w:tbl>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Roadzen Inc.</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Consolidated Statements of Operations</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 US $, except share count)</w:t>
      </w:r>
    </w:p>
    <w:p>
      <w:pPr>
        <w:pStyle w:val="TextBody"/>
        <w:bidi w:val="0"/>
        <w:spacing w:before="0" w:after="0"/>
        <w:jc w:val="center"/>
        <w:rPr>
          <w:caps w:val="false"/>
          <w:smallCaps w:val="false"/>
        </w:rPr>
      </w:pPr>
      <w:r>
        <w:rPr>
          <w:caps w:val="false"/>
          <w:smallCaps w:val="false"/>
        </w:rPr>
        <w:t> </w:t>
      </w:r>
    </w:p>
    <w:tbl>
      <w:tblPr>
        <w:tblW w:w="10205" w:type="dxa"/>
        <w:jc w:val="left"/>
        <w:tblInd w:w="0" w:type="dxa"/>
        <w:tblLayout w:type="fixed"/>
        <w:tblCellMar>
          <w:top w:w="0" w:type="dxa"/>
          <w:left w:w="0" w:type="dxa"/>
          <w:bottom w:w="28" w:type="dxa"/>
          <w:right w:w="0" w:type="dxa"/>
        </w:tblCellMar>
      </w:tblPr>
      <w:tblGrid>
        <w:gridCol w:w="4735"/>
        <w:gridCol w:w="60"/>
        <w:gridCol w:w="60"/>
        <w:gridCol w:w="1100"/>
        <w:gridCol w:w="95"/>
        <w:gridCol w:w="60"/>
        <w:gridCol w:w="60"/>
        <w:gridCol w:w="1100"/>
        <w:gridCol w:w="95"/>
        <w:gridCol w:w="60"/>
        <w:gridCol w:w="60"/>
        <w:gridCol w:w="1175"/>
        <w:gridCol w:w="95"/>
        <w:gridCol w:w="60"/>
        <w:gridCol w:w="60"/>
        <w:gridCol w:w="1220"/>
        <w:gridCol w:w="110"/>
      </w:tblGrid>
      <w:tr>
        <w:trPr/>
        <w:tc>
          <w:tcPr>
            <w:tcW w:w="4735" w:type="dxa"/>
            <w:tcBorders>
              <w:bottom w:val="single" w:sz="8" w:space="0" w:color="000000"/>
            </w:tcBorders>
            <w:vAlign w:val="center"/>
          </w:tcPr>
          <w:p>
            <w:pPr>
              <w:pStyle w:val="TableContents"/>
              <w:bidi w:val="0"/>
              <w:spacing w:before="0" w:after="283"/>
              <w:jc w:val="center"/>
              <w:rPr>
                <w:b/>
              </w:rPr>
            </w:pPr>
            <w:r>
              <w:rPr>
                <w:b/>
              </w:rPr>
              <w:t>Particulars</w:t>
            </w:r>
          </w:p>
        </w:tc>
        <w:tc>
          <w:tcPr>
            <w:tcW w:w="60" w:type="dxa"/>
            <w:tcBorders/>
            <w:tcMar>
              <w:bottom w:w="0" w:type="dxa"/>
            </w:tcMar>
            <w:vAlign w:val="center"/>
          </w:tcPr>
          <w:p>
            <w:pPr>
              <w:pStyle w:val="TableContents"/>
              <w:bidi w:val="0"/>
              <w:spacing w:before="0" w:after="283"/>
              <w:jc w:val="left"/>
              <w:rPr/>
            </w:pPr>
            <w:r>
              <w:rPr/>
              <w:t> </w:t>
            </w:r>
          </w:p>
        </w:tc>
        <w:tc>
          <w:tcPr>
            <w:tcW w:w="2475" w:type="dxa"/>
            <w:gridSpan w:val="6"/>
            <w:tcBorders>
              <w:bottom w:val="single" w:sz="8" w:space="0" w:color="000000"/>
            </w:tcBorders>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 the three months ended</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March 31,</w:t>
            </w:r>
          </w:p>
        </w:tc>
        <w:tc>
          <w:tcPr>
            <w:tcW w:w="95"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2670" w:type="dxa"/>
            <w:gridSpan w:val="6"/>
            <w:tcBorders>
              <w:bottom w:val="single" w:sz="8" w:space="0" w:color="000000"/>
            </w:tcBorders>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 the year ended</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March 31,</w:t>
            </w:r>
          </w:p>
        </w:tc>
        <w:tc>
          <w:tcPr>
            <w:tcW w:w="110" w:type="dxa"/>
            <w:tcBorders/>
            <w:tcMar>
              <w:bottom w:w="0" w:type="dxa"/>
            </w:tcMar>
            <w:vAlign w:val="center"/>
          </w:tcPr>
          <w:p>
            <w:pPr>
              <w:pStyle w:val="TableContents"/>
              <w:bidi w:val="0"/>
              <w:spacing w:before="0" w:after="283"/>
              <w:jc w:val="left"/>
              <w:rPr/>
            </w:pPr>
            <w:r>
              <w:rPr/>
              <w:t> </w:t>
            </w:r>
          </w:p>
        </w:tc>
      </w:tr>
      <w:tr>
        <w:trPr/>
        <w:tc>
          <w:tcPr>
            <w:tcW w:w="4735" w:type="dxa"/>
            <w:tcBorders/>
            <w:tcMar>
              <w:bottom w:w="0" w:type="dxa"/>
            </w:tcMar>
            <w:vAlign w:val="center"/>
          </w:tcPr>
          <w:p>
            <w:pPr>
              <w:pStyle w:val="TableContents"/>
              <w:bidi w:val="0"/>
              <w:spacing w:before="0" w:after="283"/>
              <w:jc w:val="center"/>
              <w:rPr/>
            </w:pPr>
            <w:r>
              <w:rPr/>
              <w:t> </w:t>
            </w:r>
          </w:p>
        </w:tc>
        <w:tc>
          <w:tcPr>
            <w:tcW w:w="60" w:type="dxa"/>
            <w:tcBorders/>
            <w:tcMar>
              <w:bottom w:w="0" w:type="dxa"/>
            </w:tcMar>
            <w:vAlign w:val="center"/>
          </w:tcPr>
          <w:p>
            <w:pPr>
              <w:pStyle w:val="TableContents"/>
              <w:bidi w:val="0"/>
              <w:spacing w:before="0" w:after="283"/>
              <w:jc w:val="left"/>
              <w:rPr/>
            </w:pPr>
            <w:r>
              <w:rPr/>
              <w:t> </w:t>
            </w:r>
          </w:p>
        </w:tc>
        <w:tc>
          <w:tcPr>
            <w:tcW w:w="1160" w:type="dxa"/>
            <w:gridSpan w:val="2"/>
            <w:tcBorders>
              <w:bottom w:val="single" w:sz="8" w:space="0" w:color="000000"/>
            </w:tcBorders>
            <w:vAlign w:val="center"/>
          </w:tcPr>
          <w:p>
            <w:pPr>
              <w:pStyle w:val="TableContents"/>
              <w:bidi w:val="0"/>
              <w:spacing w:before="0" w:after="283"/>
              <w:jc w:val="center"/>
              <w:rPr>
                <w:b/>
              </w:rPr>
            </w:pPr>
            <w:r>
              <w:rPr>
                <w:b/>
              </w:rPr>
              <w:t>2026</w:t>
            </w:r>
          </w:p>
        </w:tc>
        <w:tc>
          <w:tcPr>
            <w:tcW w:w="95"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160" w:type="dxa"/>
            <w:gridSpan w:val="2"/>
            <w:tcBorders>
              <w:bottom w:val="single" w:sz="8" w:space="0" w:color="000000"/>
            </w:tcBorders>
            <w:vAlign w:val="center"/>
          </w:tcPr>
          <w:p>
            <w:pPr>
              <w:pStyle w:val="TableContents"/>
              <w:bidi w:val="0"/>
              <w:spacing w:before="0" w:after="283"/>
              <w:jc w:val="center"/>
              <w:rPr>
                <w:b/>
              </w:rPr>
            </w:pPr>
            <w:r>
              <w:rPr>
                <w:b/>
              </w:rPr>
              <w:t>2025</w:t>
            </w:r>
          </w:p>
        </w:tc>
        <w:tc>
          <w:tcPr>
            <w:tcW w:w="95"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235" w:type="dxa"/>
            <w:gridSpan w:val="2"/>
            <w:tcBorders>
              <w:bottom w:val="single" w:sz="8" w:space="0" w:color="000000"/>
            </w:tcBorders>
            <w:vAlign w:val="center"/>
          </w:tcPr>
          <w:p>
            <w:pPr>
              <w:pStyle w:val="TableContents"/>
              <w:bidi w:val="0"/>
              <w:spacing w:before="0" w:after="283"/>
              <w:jc w:val="center"/>
              <w:rPr>
                <w:b/>
              </w:rPr>
            </w:pPr>
            <w:r>
              <w:rPr>
                <w:b/>
              </w:rPr>
              <w:t>2026</w:t>
            </w:r>
          </w:p>
        </w:tc>
        <w:tc>
          <w:tcPr>
            <w:tcW w:w="95"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280" w:type="dxa"/>
            <w:gridSpan w:val="2"/>
            <w:tcBorders>
              <w:bottom w:val="single" w:sz="8" w:space="0" w:color="000000"/>
            </w:tcBorders>
            <w:vAlign w:val="center"/>
          </w:tcPr>
          <w:p>
            <w:pPr>
              <w:pStyle w:val="TableContents"/>
              <w:bidi w:val="0"/>
              <w:spacing w:before="0" w:after="283"/>
              <w:jc w:val="center"/>
              <w:rPr>
                <w:b/>
              </w:rPr>
            </w:pPr>
            <w:r>
              <w:rPr>
                <w:b/>
              </w:rPr>
              <w:t>2025</w:t>
            </w:r>
          </w:p>
        </w:tc>
        <w:tc>
          <w:tcPr>
            <w:tcW w:w="110" w:type="dxa"/>
            <w:tcBorders/>
            <w:tcMar>
              <w:bottom w:w="0" w:type="dxa"/>
            </w:tcMar>
            <w:vAlign w:val="center"/>
          </w:tcPr>
          <w:p>
            <w:pPr>
              <w:pStyle w:val="TableContents"/>
              <w:bidi w:val="0"/>
              <w:spacing w:before="0" w:after="283"/>
              <w:jc w:val="left"/>
              <w:rPr/>
            </w:pPr>
            <w:r>
              <w:rPr/>
              <w:t> </w:t>
            </w:r>
          </w:p>
        </w:tc>
      </w:tr>
      <w:tr>
        <w:trPr/>
        <w:tc>
          <w:tcPr>
            <w:tcW w:w="4735" w:type="dxa"/>
            <w:tcBorders/>
            <w:shd w:fill="CCEEFF" w:val="clear"/>
            <w:tcMar>
              <w:bottom w:w="0" w:type="dxa"/>
            </w:tcMar>
            <w:vAlign w:val="center"/>
          </w:tcPr>
          <w:p>
            <w:pPr>
              <w:pStyle w:val="TableContents"/>
              <w:bidi w:val="0"/>
              <w:spacing w:before="0" w:after="283"/>
              <w:jc w:val="left"/>
              <w:rPr>
                <w:b/>
              </w:rPr>
            </w:pPr>
            <w:r>
              <w:rPr>
                <w:b/>
              </w:rPr>
              <w:t>Revenue</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100" w:type="dxa"/>
            <w:tcBorders/>
            <w:shd w:fill="CCEEFF" w:val="clear"/>
            <w:tcMar>
              <w:bottom w:w="0" w:type="dxa"/>
            </w:tcMar>
            <w:vAlign w:val="center"/>
          </w:tcPr>
          <w:p>
            <w:pPr>
              <w:pStyle w:val="TableContents"/>
              <w:bidi w:val="0"/>
              <w:spacing w:before="0" w:after="283"/>
              <w:jc w:val="right"/>
              <w:rPr/>
            </w:pPr>
            <w:r>
              <w:rPr/>
              <w:t>16,121,304</w:t>
            </w:r>
          </w:p>
        </w:tc>
        <w:tc>
          <w:tcPr>
            <w:tcW w:w="9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100" w:type="dxa"/>
            <w:tcBorders/>
            <w:shd w:fill="CCEEFF" w:val="clear"/>
            <w:tcMar>
              <w:bottom w:w="0" w:type="dxa"/>
            </w:tcMar>
            <w:vAlign w:val="center"/>
          </w:tcPr>
          <w:p>
            <w:pPr>
              <w:pStyle w:val="TableContents"/>
              <w:bidi w:val="0"/>
              <w:spacing w:before="0" w:after="283"/>
              <w:jc w:val="right"/>
              <w:rPr/>
            </w:pPr>
            <w:r>
              <w:rPr/>
              <w:t>11,330,827</w:t>
            </w:r>
          </w:p>
        </w:tc>
        <w:tc>
          <w:tcPr>
            <w:tcW w:w="9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175" w:type="dxa"/>
            <w:tcBorders/>
            <w:shd w:fill="CCEEFF" w:val="clear"/>
            <w:tcMar>
              <w:bottom w:w="0" w:type="dxa"/>
            </w:tcMar>
            <w:vAlign w:val="center"/>
          </w:tcPr>
          <w:p>
            <w:pPr>
              <w:pStyle w:val="TableContents"/>
              <w:bidi w:val="0"/>
              <w:spacing w:before="0" w:after="283"/>
              <w:jc w:val="right"/>
              <w:rPr/>
            </w:pPr>
            <w:r>
              <w:rPr/>
              <w:t>55,021,792</w:t>
            </w:r>
          </w:p>
        </w:tc>
        <w:tc>
          <w:tcPr>
            <w:tcW w:w="9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220" w:type="dxa"/>
            <w:tcBorders/>
            <w:shd w:fill="CCEEFF" w:val="clear"/>
            <w:tcMar>
              <w:bottom w:w="0" w:type="dxa"/>
            </w:tcMar>
            <w:vAlign w:val="center"/>
          </w:tcPr>
          <w:p>
            <w:pPr>
              <w:pStyle w:val="TableContents"/>
              <w:bidi w:val="0"/>
              <w:spacing w:before="0" w:after="283"/>
              <w:jc w:val="right"/>
              <w:rPr/>
            </w:pPr>
            <w:r>
              <w:rPr/>
              <w:t>44,296,098</w:t>
            </w:r>
          </w:p>
        </w:tc>
        <w:tc>
          <w:tcPr>
            <w:tcW w:w="110" w:type="dxa"/>
            <w:tcBorders/>
            <w:shd w:fill="CCEEFF" w:val="clear"/>
            <w:tcMar>
              <w:bottom w:w="0" w:type="dxa"/>
            </w:tcMar>
            <w:vAlign w:val="center"/>
          </w:tcPr>
          <w:p>
            <w:pPr>
              <w:pStyle w:val="TableContents"/>
              <w:bidi w:val="0"/>
              <w:spacing w:before="0" w:after="283"/>
              <w:jc w:val="left"/>
              <w:rPr/>
            </w:pPr>
            <w:r>
              <w:rPr/>
              <w:t> </w:t>
            </w:r>
          </w:p>
        </w:tc>
      </w:tr>
      <w:tr>
        <w:trPr/>
        <w:tc>
          <w:tcPr>
            <w:tcW w:w="4735" w:type="dxa"/>
            <w:tcBorders/>
            <w:shd w:fill="FFFFFF" w:val="clear"/>
            <w:tcMar>
              <w:bottom w:w="0" w:type="dxa"/>
            </w:tcMar>
            <w:vAlign w:val="center"/>
          </w:tcPr>
          <w:p>
            <w:pPr>
              <w:pStyle w:val="TableContents"/>
              <w:bidi w:val="0"/>
              <w:spacing w:before="0" w:after="283"/>
              <w:jc w:val="left"/>
              <w:rPr>
                <w:b/>
              </w:rPr>
            </w:pPr>
            <w:r>
              <w:rPr>
                <w:b/>
              </w:rPr>
              <w:t>Costs and expenses:</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100" w:type="dxa"/>
            <w:tcBorders/>
            <w:shd w:fill="FFFFFF" w:val="clear"/>
            <w:tcMar>
              <w:bottom w:w="0" w:type="dxa"/>
            </w:tcMar>
            <w:vAlign w:val="center"/>
          </w:tcPr>
          <w:p>
            <w:pPr>
              <w:pStyle w:val="TableContents"/>
              <w:bidi w:val="0"/>
              <w:spacing w:before="0" w:after="283"/>
              <w:jc w:val="right"/>
              <w:rPr/>
            </w:pPr>
            <w:r>
              <w:rPr/>
              <w:t> </w:t>
            </w:r>
          </w:p>
        </w:tc>
        <w:tc>
          <w:tcPr>
            <w:tcW w:w="9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100" w:type="dxa"/>
            <w:tcBorders/>
            <w:shd w:fill="FFFFFF" w:val="clear"/>
            <w:tcMar>
              <w:bottom w:w="0" w:type="dxa"/>
            </w:tcMar>
            <w:vAlign w:val="center"/>
          </w:tcPr>
          <w:p>
            <w:pPr>
              <w:pStyle w:val="TableContents"/>
              <w:bidi w:val="0"/>
              <w:spacing w:before="0" w:after="283"/>
              <w:jc w:val="right"/>
              <w:rPr/>
            </w:pPr>
            <w:r>
              <w:rPr/>
              <w:t> </w:t>
            </w:r>
          </w:p>
        </w:tc>
        <w:tc>
          <w:tcPr>
            <w:tcW w:w="9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175" w:type="dxa"/>
            <w:tcBorders/>
            <w:shd w:fill="FFFFFF" w:val="clear"/>
            <w:tcMar>
              <w:bottom w:w="0" w:type="dxa"/>
            </w:tcMar>
            <w:vAlign w:val="center"/>
          </w:tcPr>
          <w:p>
            <w:pPr>
              <w:pStyle w:val="TableContents"/>
              <w:bidi w:val="0"/>
              <w:spacing w:before="0" w:after="283"/>
              <w:jc w:val="right"/>
              <w:rPr/>
            </w:pPr>
            <w:r>
              <w:rPr/>
              <w:t> </w:t>
            </w:r>
          </w:p>
        </w:tc>
        <w:tc>
          <w:tcPr>
            <w:tcW w:w="9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220" w:type="dxa"/>
            <w:tcBorders/>
            <w:shd w:fill="FFFFFF" w:val="clear"/>
            <w:tcMar>
              <w:bottom w:w="0" w:type="dxa"/>
            </w:tcMar>
            <w:vAlign w:val="center"/>
          </w:tcPr>
          <w:p>
            <w:pPr>
              <w:pStyle w:val="TableContents"/>
              <w:bidi w:val="0"/>
              <w:spacing w:before="0" w:after="283"/>
              <w:jc w:val="right"/>
              <w:rPr/>
            </w:pPr>
            <w:r>
              <w:rPr/>
              <w:t> </w:t>
            </w:r>
          </w:p>
        </w:tc>
        <w:tc>
          <w:tcPr>
            <w:tcW w:w="110" w:type="dxa"/>
            <w:tcBorders/>
            <w:shd w:fill="FFFFFF" w:val="clear"/>
            <w:tcMar>
              <w:bottom w:w="0" w:type="dxa"/>
            </w:tcMar>
            <w:vAlign w:val="center"/>
          </w:tcPr>
          <w:p>
            <w:pPr>
              <w:pStyle w:val="TableContents"/>
              <w:bidi w:val="0"/>
              <w:spacing w:before="0" w:after="283"/>
              <w:jc w:val="left"/>
              <w:rPr/>
            </w:pPr>
            <w:r>
              <w:rPr/>
              <w:t> </w:t>
            </w:r>
          </w:p>
        </w:tc>
      </w:tr>
      <w:tr>
        <w:trPr/>
        <w:tc>
          <w:tcPr>
            <w:tcW w:w="4735" w:type="dxa"/>
            <w:tcBorders/>
            <w:shd w:fill="CCEEFF" w:val="clear"/>
            <w:tcMar>
              <w:bottom w:w="0" w:type="dxa"/>
            </w:tcMar>
            <w:vAlign w:val="center"/>
          </w:tcPr>
          <w:p>
            <w:pPr>
              <w:pStyle w:val="TableContents"/>
              <w:bidi w:val="0"/>
              <w:spacing w:before="0" w:after="283"/>
              <w:jc w:val="left"/>
              <w:rPr/>
            </w:pPr>
            <w:r>
              <w:rPr/>
              <w:t>Cost of services</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100" w:type="dxa"/>
            <w:tcBorders/>
            <w:shd w:fill="CCEEFF" w:val="clear"/>
            <w:tcMar>
              <w:bottom w:w="0" w:type="dxa"/>
            </w:tcMar>
            <w:vAlign w:val="center"/>
          </w:tcPr>
          <w:p>
            <w:pPr>
              <w:pStyle w:val="TableContents"/>
              <w:bidi w:val="0"/>
              <w:spacing w:before="0" w:after="283"/>
              <w:jc w:val="right"/>
              <w:rPr/>
            </w:pPr>
            <w:r>
              <w:rPr/>
              <w:t>5,537,522</w:t>
            </w:r>
          </w:p>
        </w:tc>
        <w:tc>
          <w:tcPr>
            <w:tcW w:w="9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100" w:type="dxa"/>
            <w:tcBorders/>
            <w:shd w:fill="CCEEFF" w:val="clear"/>
            <w:tcMar>
              <w:bottom w:w="0" w:type="dxa"/>
            </w:tcMar>
            <w:vAlign w:val="center"/>
          </w:tcPr>
          <w:p>
            <w:pPr>
              <w:pStyle w:val="TableContents"/>
              <w:bidi w:val="0"/>
              <w:spacing w:before="0" w:after="283"/>
              <w:jc w:val="right"/>
              <w:rPr/>
            </w:pPr>
            <w:r>
              <w:rPr/>
              <w:t>3,893,120</w:t>
            </w:r>
          </w:p>
        </w:tc>
        <w:tc>
          <w:tcPr>
            <w:tcW w:w="9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175" w:type="dxa"/>
            <w:tcBorders/>
            <w:shd w:fill="CCEEFF" w:val="clear"/>
            <w:tcMar>
              <w:bottom w:w="0" w:type="dxa"/>
            </w:tcMar>
            <w:vAlign w:val="center"/>
          </w:tcPr>
          <w:p>
            <w:pPr>
              <w:pStyle w:val="TableContents"/>
              <w:bidi w:val="0"/>
              <w:spacing w:before="0" w:after="283"/>
              <w:jc w:val="right"/>
              <w:rPr/>
            </w:pPr>
            <w:r>
              <w:rPr/>
              <w:t>21,277,579</w:t>
            </w:r>
          </w:p>
        </w:tc>
        <w:tc>
          <w:tcPr>
            <w:tcW w:w="9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220" w:type="dxa"/>
            <w:tcBorders/>
            <w:shd w:fill="CCEEFF" w:val="clear"/>
            <w:tcMar>
              <w:bottom w:w="0" w:type="dxa"/>
            </w:tcMar>
            <w:vAlign w:val="center"/>
          </w:tcPr>
          <w:p>
            <w:pPr>
              <w:pStyle w:val="TableContents"/>
              <w:bidi w:val="0"/>
              <w:spacing w:before="0" w:after="283"/>
              <w:jc w:val="right"/>
              <w:rPr/>
            </w:pPr>
            <w:r>
              <w:rPr/>
              <w:t>18,833,218</w:t>
            </w:r>
          </w:p>
        </w:tc>
        <w:tc>
          <w:tcPr>
            <w:tcW w:w="110" w:type="dxa"/>
            <w:tcBorders/>
            <w:shd w:fill="CCEEFF" w:val="clear"/>
            <w:tcMar>
              <w:bottom w:w="0" w:type="dxa"/>
            </w:tcMar>
            <w:vAlign w:val="center"/>
          </w:tcPr>
          <w:p>
            <w:pPr>
              <w:pStyle w:val="TableContents"/>
              <w:bidi w:val="0"/>
              <w:spacing w:before="0" w:after="283"/>
              <w:jc w:val="left"/>
              <w:rPr/>
            </w:pPr>
            <w:r>
              <w:rPr/>
              <w:t> </w:t>
            </w:r>
          </w:p>
        </w:tc>
      </w:tr>
      <w:tr>
        <w:trPr/>
        <w:tc>
          <w:tcPr>
            <w:tcW w:w="4735" w:type="dxa"/>
            <w:tcBorders/>
            <w:shd w:fill="FFFFFF" w:val="clear"/>
            <w:tcMar>
              <w:bottom w:w="0" w:type="dxa"/>
            </w:tcMar>
            <w:vAlign w:val="center"/>
          </w:tcPr>
          <w:p>
            <w:pPr>
              <w:pStyle w:val="TableContents"/>
              <w:bidi w:val="0"/>
              <w:spacing w:before="0" w:after="283"/>
              <w:jc w:val="left"/>
              <w:rPr/>
            </w:pPr>
            <w:r>
              <w:rPr/>
              <w:t>Research and development</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100" w:type="dxa"/>
            <w:tcBorders/>
            <w:shd w:fill="FFFFFF" w:val="clear"/>
            <w:tcMar>
              <w:bottom w:w="0" w:type="dxa"/>
            </w:tcMar>
            <w:vAlign w:val="center"/>
          </w:tcPr>
          <w:p>
            <w:pPr>
              <w:pStyle w:val="TableContents"/>
              <w:bidi w:val="0"/>
              <w:spacing w:before="0" w:after="283"/>
              <w:jc w:val="right"/>
              <w:rPr/>
            </w:pPr>
            <w:r>
              <w:rPr/>
              <w:t>(115,664</w:t>
            </w:r>
          </w:p>
        </w:tc>
        <w:tc>
          <w:tcPr>
            <w:tcW w:w="95" w:type="dxa"/>
            <w:tcBorders/>
            <w:shd w:fill="FFFFFF" w:val="clear"/>
            <w:tcMar>
              <w:bottom w:w="0" w:type="dxa"/>
            </w:tcMar>
            <w:vAlign w:val="center"/>
          </w:tcPr>
          <w:p>
            <w:pPr>
              <w:pStyle w:val="TableContents"/>
              <w:bidi w:val="0"/>
              <w:spacing w:before="0" w:after="283"/>
              <w:jc w:val="left"/>
              <w:rPr/>
            </w:pPr>
            <w:r>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100" w:type="dxa"/>
            <w:tcBorders/>
            <w:shd w:fill="FFFFFF" w:val="clear"/>
            <w:tcMar>
              <w:bottom w:w="0" w:type="dxa"/>
            </w:tcMar>
            <w:vAlign w:val="center"/>
          </w:tcPr>
          <w:p>
            <w:pPr>
              <w:pStyle w:val="TableContents"/>
              <w:bidi w:val="0"/>
              <w:spacing w:before="0" w:after="283"/>
              <w:jc w:val="right"/>
              <w:rPr/>
            </w:pPr>
            <w:r>
              <w:rPr/>
              <w:t>244,928</w:t>
            </w:r>
          </w:p>
        </w:tc>
        <w:tc>
          <w:tcPr>
            <w:tcW w:w="9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175" w:type="dxa"/>
            <w:tcBorders/>
            <w:shd w:fill="FFFFFF" w:val="clear"/>
            <w:tcMar>
              <w:bottom w:w="0" w:type="dxa"/>
            </w:tcMar>
            <w:vAlign w:val="center"/>
          </w:tcPr>
          <w:p>
            <w:pPr>
              <w:pStyle w:val="TableContents"/>
              <w:bidi w:val="0"/>
              <w:spacing w:before="0" w:after="283"/>
              <w:jc w:val="right"/>
              <w:rPr/>
            </w:pPr>
            <w:r>
              <w:rPr/>
              <w:t>408,355</w:t>
            </w:r>
          </w:p>
        </w:tc>
        <w:tc>
          <w:tcPr>
            <w:tcW w:w="9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220" w:type="dxa"/>
            <w:tcBorders/>
            <w:shd w:fill="FFFFFF" w:val="clear"/>
            <w:tcMar>
              <w:bottom w:w="0" w:type="dxa"/>
            </w:tcMar>
            <w:vAlign w:val="center"/>
          </w:tcPr>
          <w:p>
            <w:pPr>
              <w:pStyle w:val="TableContents"/>
              <w:bidi w:val="0"/>
              <w:spacing w:before="0" w:after="283"/>
              <w:jc w:val="right"/>
              <w:rPr/>
            </w:pPr>
            <w:r>
              <w:rPr/>
              <w:t>3,779,955</w:t>
            </w:r>
          </w:p>
        </w:tc>
        <w:tc>
          <w:tcPr>
            <w:tcW w:w="110" w:type="dxa"/>
            <w:tcBorders/>
            <w:shd w:fill="FFFFFF" w:val="clear"/>
            <w:tcMar>
              <w:bottom w:w="0" w:type="dxa"/>
            </w:tcMar>
            <w:vAlign w:val="center"/>
          </w:tcPr>
          <w:p>
            <w:pPr>
              <w:pStyle w:val="TableContents"/>
              <w:bidi w:val="0"/>
              <w:spacing w:before="0" w:after="283"/>
              <w:jc w:val="left"/>
              <w:rPr/>
            </w:pPr>
            <w:r>
              <w:rPr/>
              <w:t> </w:t>
            </w:r>
          </w:p>
        </w:tc>
      </w:tr>
      <w:tr>
        <w:trPr/>
        <w:tc>
          <w:tcPr>
            <w:tcW w:w="4735" w:type="dxa"/>
            <w:tcBorders/>
            <w:shd w:fill="CCEEFF" w:val="clear"/>
            <w:tcMar>
              <w:bottom w:w="0" w:type="dxa"/>
            </w:tcMar>
            <w:vAlign w:val="center"/>
          </w:tcPr>
          <w:p>
            <w:pPr>
              <w:pStyle w:val="TableContents"/>
              <w:bidi w:val="0"/>
              <w:spacing w:before="0" w:after="283"/>
              <w:jc w:val="left"/>
              <w:rPr/>
            </w:pPr>
            <w:r>
              <w:rPr/>
              <w:t>Sales and marketing</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100" w:type="dxa"/>
            <w:tcBorders/>
            <w:shd w:fill="CCEEFF" w:val="clear"/>
            <w:tcMar>
              <w:bottom w:w="0" w:type="dxa"/>
            </w:tcMar>
            <w:vAlign w:val="center"/>
          </w:tcPr>
          <w:p>
            <w:pPr>
              <w:pStyle w:val="TableContents"/>
              <w:bidi w:val="0"/>
              <w:spacing w:before="0" w:after="283"/>
              <w:jc w:val="right"/>
              <w:rPr/>
            </w:pPr>
            <w:r>
              <w:rPr/>
              <w:t>9,349,677</w:t>
            </w:r>
          </w:p>
        </w:tc>
        <w:tc>
          <w:tcPr>
            <w:tcW w:w="9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100" w:type="dxa"/>
            <w:tcBorders/>
            <w:shd w:fill="CCEEFF" w:val="clear"/>
            <w:tcMar>
              <w:bottom w:w="0" w:type="dxa"/>
            </w:tcMar>
            <w:vAlign w:val="center"/>
          </w:tcPr>
          <w:p>
            <w:pPr>
              <w:pStyle w:val="TableContents"/>
              <w:bidi w:val="0"/>
              <w:spacing w:before="0" w:after="283"/>
              <w:jc w:val="right"/>
              <w:rPr/>
            </w:pPr>
            <w:r>
              <w:rPr/>
              <w:t>7,133,481</w:t>
            </w:r>
          </w:p>
        </w:tc>
        <w:tc>
          <w:tcPr>
            <w:tcW w:w="9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175" w:type="dxa"/>
            <w:tcBorders/>
            <w:shd w:fill="CCEEFF" w:val="clear"/>
            <w:tcMar>
              <w:bottom w:w="0" w:type="dxa"/>
            </w:tcMar>
            <w:vAlign w:val="center"/>
          </w:tcPr>
          <w:p>
            <w:pPr>
              <w:pStyle w:val="TableContents"/>
              <w:bidi w:val="0"/>
              <w:spacing w:before="0" w:after="283"/>
              <w:jc w:val="right"/>
              <w:rPr/>
            </w:pPr>
            <w:r>
              <w:rPr/>
              <w:t>29,111,662</w:t>
            </w:r>
          </w:p>
        </w:tc>
        <w:tc>
          <w:tcPr>
            <w:tcW w:w="9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220" w:type="dxa"/>
            <w:tcBorders/>
            <w:shd w:fill="CCEEFF" w:val="clear"/>
            <w:tcMar>
              <w:bottom w:w="0" w:type="dxa"/>
            </w:tcMar>
            <w:vAlign w:val="center"/>
          </w:tcPr>
          <w:p>
            <w:pPr>
              <w:pStyle w:val="TableContents"/>
              <w:bidi w:val="0"/>
              <w:spacing w:before="0" w:after="283"/>
              <w:jc w:val="right"/>
              <w:rPr/>
            </w:pPr>
            <w:r>
              <w:rPr/>
              <w:t>28,873,150</w:t>
            </w:r>
          </w:p>
        </w:tc>
        <w:tc>
          <w:tcPr>
            <w:tcW w:w="110" w:type="dxa"/>
            <w:tcBorders/>
            <w:shd w:fill="CCEEFF" w:val="clear"/>
            <w:tcMar>
              <w:bottom w:w="0" w:type="dxa"/>
            </w:tcMar>
            <w:vAlign w:val="center"/>
          </w:tcPr>
          <w:p>
            <w:pPr>
              <w:pStyle w:val="TableContents"/>
              <w:bidi w:val="0"/>
              <w:spacing w:before="0" w:after="283"/>
              <w:jc w:val="left"/>
              <w:rPr/>
            </w:pPr>
            <w:r>
              <w:rPr/>
              <w:t> </w:t>
            </w:r>
          </w:p>
        </w:tc>
      </w:tr>
      <w:tr>
        <w:trPr/>
        <w:tc>
          <w:tcPr>
            <w:tcW w:w="4735" w:type="dxa"/>
            <w:tcBorders/>
            <w:shd w:fill="FFFFFF" w:val="clear"/>
            <w:tcMar>
              <w:bottom w:w="0" w:type="dxa"/>
            </w:tcMar>
            <w:vAlign w:val="center"/>
          </w:tcPr>
          <w:p>
            <w:pPr>
              <w:pStyle w:val="TableContents"/>
              <w:bidi w:val="0"/>
              <w:spacing w:before="0" w:after="283"/>
              <w:jc w:val="left"/>
              <w:rPr/>
            </w:pPr>
            <w:r>
              <w:rPr/>
              <w:t>General and administrative</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100" w:type="dxa"/>
            <w:tcBorders/>
            <w:shd w:fill="FFFFFF" w:val="clear"/>
            <w:tcMar>
              <w:bottom w:w="0" w:type="dxa"/>
            </w:tcMar>
            <w:vAlign w:val="center"/>
          </w:tcPr>
          <w:p>
            <w:pPr>
              <w:pStyle w:val="TableContents"/>
              <w:bidi w:val="0"/>
              <w:spacing w:before="0" w:after="283"/>
              <w:jc w:val="right"/>
              <w:rPr/>
            </w:pPr>
            <w:r>
              <w:rPr/>
              <w:t>6,069,343</w:t>
            </w:r>
          </w:p>
        </w:tc>
        <w:tc>
          <w:tcPr>
            <w:tcW w:w="9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100" w:type="dxa"/>
            <w:tcBorders/>
            <w:shd w:fill="FFFFFF" w:val="clear"/>
            <w:tcMar>
              <w:bottom w:w="0" w:type="dxa"/>
            </w:tcMar>
            <w:vAlign w:val="center"/>
          </w:tcPr>
          <w:p>
            <w:pPr>
              <w:pStyle w:val="TableContents"/>
              <w:bidi w:val="0"/>
              <w:spacing w:before="0" w:after="283"/>
              <w:jc w:val="right"/>
              <w:rPr/>
            </w:pPr>
            <w:r>
              <w:rPr/>
              <w:t>2,694,733</w:t>
            </w:r>
          </w:p>
        </w:tc>
        <w:tc>
          <w:tcPr>
            <w:tcW w:w="9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175" w:type="dxa"/>
            <w:tcBorders/>
            <w:shd w:fill="FFFFFF" w:val="clear"/>
            <w:tcMar>
              <w:bottom w:w="0" w:type="dxa"/>
            </w:tcMar>
            <w:vAlign w:val="center"/>
          </w:tcPr>
          <w:p>
            <w:pPr>
              <w:pStyle w:val="TableContents"/>
              <w:bidi w:val="0"/>
              <w:spacing w:before="0" w:after="283"/>
              <w:jc w:val="right"/>
              <w:rPr/>
            </w:pPr>
            <w:r>
              <w:rPr/>
              <w:t>15,976,982</w:t>
            </w:r>
          </w:p>
        </w:tc>
        <w:tc>
          <w:tcPr>
            <w:tcW w:w="9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220" w:type="dxa"/>
            <w:tcBorders/>
            <w:shd w:fill="FFFFFF" w:val="clear"/>
            <w:tcMar>
              <w:bottom w:w="0" w:type="dxa"/>
            </w:tcMar>
            <w:vAlign w:val="center"/>
          </w:tcPr>
          <w:p>
            <w:pPr>
              <w:pStyle w:val="TableContents"/>
              <w:bidi w:val="0"/>
              <w:spacing w:before="0" w:after="283"/>
              <w:jc w:val="right"/>
              <w:rPr/>
            </w:pPr>
            <w:r>
              <w:rPr/>
              <w:t>51,602,107</w:t>
            </w:r>
          </w:p>
        </w:tc>
        <w:tc>
          <w:tcPr>
            <w:tcW w:w="110" w:type="dxa"/>
            <w:tcBorders/>
            <w:shd w:fill="FFFFFF" w:val="clear"/>
            <w:tcMar>
              <w:bottom w:w="0" w:type="dxa"/>
            </w:tcMar>
            <w:vAlign w:val="center"/>
          </w:tcPr>
          <w:p>
            <w:pPr>
              <w:pStyle w:val="TableContents"/>
              <w:bidi w:val="0"/>
              <w:spacing w:before="0" w:after="283"/>
              <w:jc w:val="left"/>
              <w:rPr/>
            </w:pPr>
            <w:r>
              <w:rPr/>
              <w:t> </w:t>
            </w:r>
          </w:p>
        </w:tc>
      </w:tr>
      <w:tr>
        <w:trPr/>
        <w:tc>
          <w:tcPr>
            <w:tcW w:w="4735" w:type="dxa"/>
            <w:tcBorders/>
            <w:shd w:fill="CCEEFF" w:val="clear"/>
            <w:tcMar>
              <w:bottom w:w="0" w:type="dxa"/>
            </w:tcMar>
            <w:vAlign w:val="center"/>
          </w:tcPr>
          <w:p>
            <w:pPr>
              <w:pStyle w:val="TableContents"/>
              <w:bidi w:val="0"/>
              <w:spacing w:before="0" w:after="283"/>
              <w:jc w:val="left"/>
              <w:rPr/>
            </w:pPr>
            <w:r>
              <w:rPr/>
              <w:t>Depreciation and amortization</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bottom w:val="single" w:sz="8" w:space="0" w:color="000000"/>
            </w:tcBorders>
            <w:shd w:fill="CCEEFF" w:val="clear"/>
            <w:vAlign w:val="center"/>
          </w:tcPr>
          <w:p>
            <w:pPr>
              <w:pStyle w:val="TableContents"/>
              <w:bidi w:val="0"/>
              <w:spacing w:before="0" w:after="283"/>
              <w:jc w:val="left"/>
              <w:rPr/>
            </w:pPr>
            <w:r>
              <w:rPr/>
              <w:t> </w:t>
            </w:r>
          </w:p>
        </w:tc>
        <w:tc>
          <w:tcPr>
            <w:tcW w:w="1100" w:type="dxa"/>
            <w:tcBorders>
              <w:bottom w:val="single" w:sz="8" w:space="0" w:color="000000"/>
            </w:tcBorders>
            <w:shd w:fill="CCEEFF" w:val="clear"/>
            <w:vAlign w:val="center"/>
          </w:tcPr>
          <w:p>
            <w:pPr>
              <w:pStyle w:val="TableContents"/>
              <w:bidi w:val="0"/>
              <w:spacing w:before="0" w:after="283"/>
              <w:jc w:val="right"/>
              <w:rPr/>
            </w:pPr>
            <w:r>
              <w:rPr/>
              <w:t>1,057,462</w:t>
            </w:r>
          </w:p>
        </w:tc>
        <w:tc>
          <w:tcPr>
            <w:tcW w:w="9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bottom w:val="single" w:sz="8" w:space="0" w:color="000000"/>
            </w:tcBorders>
            <w:shd w:fill="CCEEFF" w:val="clear"/>
            <w:vAlign w:val="center"/>
          </w:tcPr>
          <w:p>
            <w:pPr>
              <w:pStyle w:val="TableContents"/>
              <w:bidi w:val="0"/>
              <w:spacing w:before="0" w:after="283"/>
              <w:jc w:val="left"/>
              <w:rPr/>
            </w:pPr>
            <w:r>
              <w:rPr/>
              <w:t> </w:t>
            </w:r>
          </w:p>
        </w:tc>
        <w:tc>
          <w:tcPr>
            <w:tcW w:w="1100" w:type="dxa"/>
            <w:tcBorders>
              <w:bottom w:val="single" w:sz="8" w:space="0" w:color="000000"/>
            </w:tcBorders>
            <w:shd w:fill="CCEEFF" w:val="clear"/>
            <w:vAlign w:val="center"/>
          </w:tcPr>
          <w:p>
            <w:pPr>
              <w:pStyle w:val="TableContents"/>
              <w:bidi w:val="0"/>
              <w:spacing w:before="0" w:after="283"/>
              <w:jc w:val="right"/>
              <w:rPr/>
            </w:pPr>
            <w:r>
              <w:rPr/>
              <w:t>1,046,539</w:t>
            </w:r>
          </w:p>
        </w:tc>
        <w:tc>
          <w:tcPr>
            <w:tcW w:w="9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bottom w:val="single" w:sz="8" w:space="0" w:color="000000"/>
            </w:tcBorders>
            <w:shd w:fill="CCEEFF" w:val="clear"/>
            <w:vAlign w:val="center"/>
          </w:tcPr>
          <w:p>
            <w:pPr>
              <w:pStyle w:val="TableContents"/>
              <w:bidi w:val="0"/>
              <w:spacing w:before="0" w:after="283"/>
              <w:jc w:val="left"/>
              <w:rPr/>
            </w:pPr>
            <w:r>
              <w:rPr/>
              <w:t> </w:t>
            </w:r>
          </w:p>
        </w:tc>
        <w:tc>
          <w:tcPr>
            <w:tcW w:w="1175" w:type="dxa"/>
            <w:tcBorders>
              <w:bottom w:val="single" w:sz="8" w:space="0" w:color="000000"/>
            </w:tcBorders>
            <w:shd w:fill="CCEEFF" w:val="clear"/>
            <w:vAlign w:val="center"/>
          </w:tcPr>
          <w:p>
            <w:pPr>
              <w:pStyle w:val="TableContents"/>
              <w:bidi w:val="0"/>
              <w:spacing w:before="0" w:after="283"/>
              <w:jc w:val="right"/>
              <w:rPr/>
            </w:pPr>
            <w:r>
              <w:rPr/>
              <w:t>2,244,268</w:t>
            </w:r>
          </w:p>
        </w:tc>
        <w:tc>
          <w:tcPr>
            <w:tcW w:w="9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bottom w:val="single" w:sz="8" w:space="0" w:color="000000"/>
            </w:tcBorders>
            <w:shd w:fill="CCEEFF" w:val="clear"/>
            <w:vAlign w:val="center"/>
          </w:tcPr>
          <w:p>
            <w:pPr>
              <w:pStyle w:val="TableContents"/>
              <w:bidi w:val="0"/>
              <w:spacing w:before="0" w:after="283"/>
              <w:jc w:val="left"/>
              <w:rPr/>
            </w:pPr>
            <w:r>
              <w:rPr/>
              <w:t> </w:t>
            </w:r>
          </w:p>
        </w:tc>
        <w:tc>
          <w:tcPr>
            <w:tcW w:w="1220" w:type="dxa"/>
            <w:tcBorders>
              <w:bottom w:val="single" w:sz="8" w:space="0" w:color="000000"/>
            </w:tcBorders>
            <w:shd w:fill="CCEEFF" w:val="clear"/>
            <w:vAlign w:val="center"/>
          </w:tcPr>
          <w:p>
            <w:pPr>
              <w:pStyle w:val="TableContents"/>
              <w:bidi w:val="0"/>
              <w:spacing w:before="0" w:after="283"/>
              <w:jc w:val="right"/>
              <w:rPr/>
            </w:pPr>
            <w:r>
              <w:rPr/>
              <w:t>2,020,610</w:t>
            </w:r>
          </w:p>
        </w:tc>
        <w:tc>
          <w:tcPr>
            <w:tcW w:w="110" w:type="dxa"/>
            <w:tcBorders/>
            <w:shd w:fill="CCEEFF" w:val="clear"/>
            <w:tcMar>
              <w:bottom w:w="0" w:type="dxa"/>
            </w:tcMar>
            <w:vAlign w:val="center"/>
          </w:tcPr>
          <w:p>
            <w:pPr>
              <w:pStyle w:val="TableContents"/>
              <w:bidi w:val="0"/>
              <w:spacing w:before="0" w:after="283"/>
              <w:jc w:val="left"/>
              <w:rPr/>
            </w:pPr>
            <w:r>
              <w:rPr/>
              <w:t> </w:t>
            </w:r>
          </w:p>
        </w:tc>
      </w:tr>
      <w:tr>
        <w:trPr/>
        <w:tc>
          <w:tcPr>
            <w:tcW w:w="4735" w:type="dxa"/>
            <w:tcBorders/>
            <w:shd w:fill="FFFFFF" w:val="clear"/>
            <w:tcMar>
              <w:bottom w:w="0" w:type="dxa"/>
            </w:tcMar>
            <w:vAlign w:val="center"/>
          </w:tcPr>
          <w:p>
            <w:pPr>
              <w:pStyle w:val="TableContents"/>
              <w:bidi w:val="0"/>
              <w:spacing w:before="0" w:after="283"/>
              <w:jc w:val="left"/>
              <w:rPr>
                <w:b/>
              </w:rPr>
            </w:pPr>
            <w:r>
              <w:rPr>
                <w:b/>
              </w:rPr>
              <w:t>Total costs and expenses</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bottom w:val="single" w:sz="8" w:space="0" w:color="000000"/>
            </w:tcBorders>
            <w:shd w:fill="FFFFFF" w:val="clear"/>
            <w:vAlign w:val="center"/>
          </w:tcPr>
          <w:p>
            <w:pPr>
              <w:pStyle w:val="TableContents"/>
              <w:bidi w:val="0"/>
              <w:spacing w:before="0" w:after="283"/>
              <w:jc w:val="left"/>
              <w:rPr/>
            </w:pPr>
            <w:r>
              <w:rPr/>
              <w:t> </w:t>
            </w:r>
          </w:p>
        </w:tc>
        <w:tc>
          <w:tcPr>
            <w:tcW w:w="1100" w:type="dxa"/>
            <w:tcBorders>
              <w:bottom w:val="single" w:sz="8" w:space="0" w:color="000000"/>
            </w:tcBorders>
            <w:shd w:fill="FFFFFF" w:val="clear"/>
            <w:vAlign w:val="center"/>
          </w:tcPr>
          <w:p>
            <w:pPr>
              <w:pStyle w:val="TableContents"/>
              <w:bidi w:val="0"/>
              <w:spacing w:before="0" w:after="283"/>
              <w:jc w:val="right"/>
              <w:rPr>
                <w:b/>
              </w:rPr>
            </w:pPr>
            <w:r>
              <w:rPr>
                <w:b/>
              </w:rPr>
              <w:t>21,898,341</w:t>
            </w:r>
          </w:p>
        </w:tc>
        <w:tc>
          <w:tcPr>
            <w:tcW w:w="9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bottom w:val="single" w:sz="8" w:space="0" w:color="000000"/>
            </w:tcBorders>
            <w:shd w:fill="FFFFFF" w:val="clear"/>
            <w:vAlign w:val="center"/>
          </w:tcPr>
          <w:p>
            <w:pPr>
              <w:pStyle w:val="TableContents"/>
              <w:bidi w:val="0"/>
              <w:spacing w:before="0" w:after="283"/>
              <w:jc w:val="left"/>
              <w:rPr/>
            </w:pPr>
            <w:r>
              <w:rPr/>
              <w:t> </w:t>
            </w:r>
          </w:p>
        </w:tc>
        <w:tc>
          <w:tcPr>
            <w:tcW w:w="1100" w:type="dxa"/>
            <w:tcBorders>
              <w:bottom w:val="single" w:sz="8" w:space="0" w:color="000000"/>
            </w:tcBorders>
            <w:shd w:fill="FFFFFF" w:val="clear"/>
            <w:vAlign w:val="center"/>
          </w:tcPr>
          <w:p>
            <w:pPr>
              <w:pStyle w:val="TableContents"/>
              <w:bidi w:val="0"/>
              <w:spacing w:before="0" w:after="283"/>
              <w:jc w:val="right"/>
              <w:rPr>
                <w:b/>
              </w:rPr>
            </w:pPr>
            <w:r>
              <w:rPr>
                <w:b/>
              </w:rPr>
              <w:t>15,012,801</w:t>
            </w:r>
          </w:p>
        </w:tc>
        <w:tc>
          <w:tcPr>
            <w:tcW w:w="9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bottom w:val="single" w:sz="8" w:space="0" w:color="000000"/>
            </w:tcBorders>
            <w:shd w:fill="FFFFFF" w:val="clear"/>
            <w:vAlign w:val="center"/>
          </w:tcPr>
          <w:p>
            <w:pPr>
              <w:pStyle w:val="TableContents"/>
              <w:bidi w:val="0"/>
              <w:spacing w:before="0" w:after="283"/>
              <w:jc w:val="left"/>
              <w:rPr/>
            </w:pPr>
            <w:r>
              <w:rPr/>
              <w:t> </w:t>
            </w:r>
          </w:p>
        </w:tc>
        <w:tc>
          <w:tcPr>
            <w:tcW w:w="1175" w:type="dxa"/>
            <w:tcBorders>
              <w:bottom w:val="single" w:sz="8" w:space="0" w:color="000000"/>
            </w:tcBorders>
            <w:shd w:fill="FFFFFF" w:val="clear"/>
            <w:vAlign w:val="center"/>
          </w:tcPr>
          <w:p>
            <w:pPr>
              <w:pStyle w:val="TableContents"/>
              <w:bidi w:val="0"/>
              <w:spacing w:before="0" w:after="283"/>
              <w:jc w:val="right"/>
              <w:rPr>
                <w:b/>
              </w:rPr>
            </w:pPr>
            <w:r>
              <w:rPr>
                <w:b/>
              </w:rPr>
              <w:t>69,018,846</w:t>
            </w:r>
          </w:p>
        </w:tc>
        <w:tc>
          <w:tcPr>
            <w:tcW w:w="9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bottom w:val="single" w:sz="8" w:space="0" w:color="000000"/>
            </w:tcBorders>
            <w:shd w:fill="FFFFFF" w:val="clear"/>
            <w:vAlign w:val="center"/>
          </w:tcPr>
          <w:p>
            <w:pPr>
              <w:pStyle w:val="TableContents"/>
              <w:bidi w:val="0"/>
              <w:spacing w:before="0" w:after="283"/>
              <w:jc w:val="left"/>
              <w:rPr/>
            </w:pPr>
            <w:r>
              <w:rPr/>
              <w:t> </w:t>
            </w:r>
          </w:p>
        </w:tc>
        <w:tc>
          <w:tcPr>
            <w:tcW w:w="1220" w:type="dxa"/>
            <w:tcBorders>
              <w:bottom w:val="single" w:sz="8" w:space="0" w:color="000000"/>
            </w:tcBorders>
            <w:shd w:fill="FFFFFF" w:val="clear"/>
            <w:vAlign w:val="center"/>
          </w:tcPr>
          <w:p>
            <w:pPr>
              <w:pStyle w:val="TableContents"/>
              <w:bidi w:val="0"/>
              <w:spacing w:before="0" w:after="283"/>
              <w:jc w:val="right"/>
              <w:rPr>
                <w:b/>
              </w:rPr>
            </w:pPr>
            <w:r>
              <w:rPr>
                <w:b/>
              </w:rPr>
              <w:t>105,109,040</w:t>
            </w:r>
          </w:p>
        </w:tc>
        <w:tc>
          <w:tcPr>
            <w:tcW w:w="110" w:type="dxa"/>
            <w:tcBorders/>
            <w:shd w:fill="FFFFFF" w:val="clear"/>
            <w:tcMar>
              <w:bottom w:w="0" w:type="dxa"/>
            </w:tcMar>
            <w:vAlign w:val="center"/>
          </w:tcPr>
          <w:p>
            <w:pPr>
              <w:pStyle w:val="TableContents"/>
              <w:bidi w:val="0"/>
              <w:spacing w:before="0" w:after="283"/>
              <w:jc w:val="left"/>
              <w:rPr/>
            </w:pPr>
            <w:r>
              <w:rPr/>
              <w:t> </w:t>
            </w:r>
          </w:p>
        </w:tc>
      </w:tr>
      <w:tr>
        <w:trPr/>
        <w:tc>
          <w:tcPr>
            <w:tcW w:w="4735" w:type="dxa"/>
            <w:tcBorders/>
            <w:shd w:fill="CCEEFF" w:val="clear"/>
            <w:tcMar>
              <w:bottom w:w="0" w:type="dxa"/>
            </w:tcMar>
            <w:vAlign w:val="center"/>
          </w:tcPr>
          <w:p>
            <w:pPr>
              <w:pStyle w:val="TableContents"/>
              <w:bidi w:val="0"/>
              <w:spacing w:before="0" w:after="283"/>
              <w:jc w:val="left"/>
              <w:rPr>
                <w:b/>
              </w:rPr>
            </w:pPr>
            <w:r>
              <w:rPr>
                <w:b/>
              </w:rPr>
              <w:t>Loss from operations</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100" w:type="dxa"/>
            <w:tcBorders/>
            <w:shd w:fill="CCEEFF" w:val="clear"/>
            <w:tcMar>
              <w:bottom w:w="0" w:type="dxa"/>
            </w:tcMar>
            <w:vAlign w:val="center"/>
          </w:tcPr>
          <w:p>
            <w:pPr>
              <w:pStyle w:val="TableContents"/>
              <w:bidi w:val="0"/>
              <w:spacing w:before="0" w:after="283"/>
              <w:jc w:val="right"/>
              <w:rPr>
                <w:b/>
              </w:rPr>
            </w:pPr>
            <w:r>
              <w:rPr>
                <w:b/>
              </w:rPr>
              <w:t>(5,777,037</w:t>
            </w:r>
          </w:p>
        </w:tc>
        <w:tc>
          <w:tcPr>
            <w:tcW w:w="95" w:type="dxa"/>
            <w:tcBorders/>
            <w:shd w:fill="CCEEFF" w:val="clear"/>
            <w:tcMar>
              <w:bottom w:w="0" w:type="dxa"/>
            </w:tcMar>
            <w:vAlign w:val="center"/>
          </w:tcPr>
          <w:p>
            <w:pPr>
              <w:pStyle w:val="TableContents"/>
              <w:bidi w:val="0"/>
              <w:spacing w:before="0" w:after="283"/>
              <w:jc w:val="left"/>
              <w:rPr>
                <w:b/>
              </w:rPr>
            </w:pPr>
            <w:r>
              <w:rPr>
                <w:b/>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100" w:type="dxa"/>
            <w:tcBorders/>
            <w:shd w:fill="CCEEFF" w:val="clear"/>
            <w:tcMar>
              <w:bottom w:w="0" w:type="dxa"/>
            </w:tcMar>
            <w:vAlign w:val="center"/>
          </w:tcPr>
          <w:p>
            <w:pPr>
              <w:pStyle w:val="TableContents"/>
              <w:bidi w:val="0"/>
              <w:spacing w:before="0" w:after="283"/>
              <w:jc w:val="right"/>
              <w:rPr>
                <w:b/>
              </w:rPr>
            </w:pPr>
            <w:r>
              <w:rPr>
                <w:b/>
              </w:rPr>
              <w:t>(3,681,974</w:t>
            </w:r>
          </w:p>
        </w:tc>
        <w:tc>
          <w:tcPr>
            <w:tcW w:w="95" w:type="dxa"/>
            <w:tcBorders/>
            <w:shd w:fill="CCEEFF" w:val="clear"/>
            <w:tcMar>
              <w:bottom w:w="0" w:type="dxa"/>
            </w:tcMar>
            <w:vAlign w:val="center"/>
          </w:tcPr>
          <w:p>
            <w:pPr>
              <w:pStyle w:val="TableContents"/>
              <w:bidi w:val="0"/>
              <w:spacing w:before="0" w:after="283"/>
              <w:jc w:val="left"/>
              <w:rPr>
                <w:b/>
              </w:rPr>
            </w:pPr>
            <w:r>
              <w:rPr>
                <w:b/>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175" w:type="dxa"/>
            <w:tcBorders/>
            <w:shd w:fill="CCEEFF" w:val="clear"/>
            <w:tcMar>
              <w:bottom w:w="0" w:type="dxa"/>
            </w:tcMar>
            <w:vAlign w:val="center"/>
          </w:tcPr>
          <w:p>
            <w:pPr>
              <w:pStyle w:val="TableContents"/>
              <w:bidi w:val="0"/>
              <w:spacing w:before="0" w:after="283"/>
              <w:jc w:val="right"/>
              <w:rPr>
                <w:b/>
              </w:rPr>
            </w:pPr>
            <w:r>
              <w:rPr>
                <w:b/>
              </w:rPr>
              <w:t>(13,997,054</w:t>
            </w:r>
          </w:p>
        </w:tc>
        <w:tc>
          <w:tcPr>
            <w:tcW w:w="95" w:type="dxa"/>
            <w:tcBorders/>
            <w:shd w:fill="CCEEFF" w:val="clear"/>
            <w:tcMar>
              <w:bottom w:w="0" w:type="dxa"/>
            </w:tcMar>
            <w:vAlign w:val="center"/>
          </w:tcPr>
          <w:p>
            <w:pPr>
              <w:pStyle w:val="TableContents"/>
              <w:bidi w:val="0"/>
              <w:spacing w:before="0" w:after="283"/>
              <w:jc w:val="left"/>
              <w:rPr>
                <w:b/>
              </w:rPr>
            </w:pPr>
            <w:r>
              <w:rPr>
                <w:b/>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220" w:type="dxa"/>
            <w:tcBorders/>
            <w:shd w:fill="CCEEFF" w:val="clear"/>
            <w:tcMar>
              <w:bottom w:w="0" w:type="dxa"/>
            </w:tcMar>
            <w:vAlign w:val="center"/>
          </w:tcPr>
          <w:p>
            <w:pPr>
              <w:pStyle w:val="TableContents"/>
              <w:bidi w:val="0"/>
              <w:spacing w:before="0" w:after="283"/>
              <w:jc w:val="right"/>
              <w:rPr>
                <w:b/>
              </w:rPr>
            </w:pPr>
            <w:r>
              <w:rPr>
                <w:b/>
              </w:rPr>
              <w:t>(60,812,942</w:t>
            </w:r>
          </w:p>
        </w:tc>
        <w:tc>
          <w:tcPr>
            <w:tcW w:w="110" w:type="dxa"/>
            <w:tcBorders/>
            <w:shd w:fill="CCEEFF" w:val="clear"/>
            <w:tcMar>
              <w:bottom w:w="0" w:type="dxa"/>
            </w:tcMar>
            <w:vAlign w:val="center"/>
          </w:tcPr>
          <w:p>
            <w:pPr>
              <w:pStyle w:val="TableContents"/>
              <w:bidi w:val="0"/>
              <w:spacing w:before="0" w:after="283"/>
              <w:jc w:val="left"/>
              <w:rPr>
                <w:b/>
              </w:rPr>
            </w:pPr>
            <w:r>
              <w:rPr>
                <w:b/>
              </w:rPr>
              <w:t>)</w:t>
            </w:r>
          </w:p>
        </w:tc>
      </w:tr>
      <w:tr>
        <w:trPr/>
        <w:tc>
          <w:tcPr>
            <w:tcW w:w="4735" w:type="dxa"/>
            <w:tcBorders/>
            <w:shd w:fill="FFFFFF" w:val="clear"/>
            <w:tcMar>
              <w:bottom w:w="0" w:type="dxa"/>
            </w:tcMar>
            <w:vAlign w:val="center"/>
          </w:tcPr>
          <w:p>
            <w:pPr>
              <w:pStyle w:val="TableContents"/>
              <w:bidi w:val="0"/>
              <w:spacing w:before="0" w:after="283"/>
              <w:jc w:val="left"/>
              <w:rPr/>
            </w:pPr>
            <w:r>
              <w:rPr/>
              <w:t>Interest expense (net)</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100" w:type="dxa"/>
            <w:tcBorders/>
            <w:shd w:fill="FFFFFF" w:val="clear"/>
            <w:tcMar>
              <w:bottom w:w="0" w:type="dxa"/>
            </w:tcMar>
            <w:vAlign w:val="center"/>
          </w:tcPr>
          <w:p>
            <w:pPr>
              <w:pStyle w:val="TableContents"/>
              <w:bidi w:val="0"/>
              <w:spacing w:before="0" w:after="283"/>
              <w:jc w:val="right"/>
              <w:rPr/>
            </w:pPr>
            <w:r>
              <w:rPr/>
              <w:t>(1,871,764</w:t>
            </w:r>
          </w:p>
        </w:tc>
        <w:tc>
          <w:tcPr>
            <w:tcW w:w="95" w:type="dxa"/>
            <w:tcBorders/>
            <w:shd w:fill="FFFFFF" w:val="clear"/>
            <w:tcMar>
              <w:bottom w:w="0" w:type="dxa"/>
            </w:tcMar>
            <w:vAlign w:val="center"/>
          </w:tcPr>
          <w:p>
            <w:pPr>
              <w:pStyle w:val="TableContents"/>
              <w:bidi w:val="0"/>
              <w:spacing w:before="0" w:after="283"/>
              <w:jc w:val="left"/>
              <w:rPr/>
            </w:pPr>
            <w:r>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100" w:type="dxa"/>
            <w:tcBorders/>
            <w:shd w:fill="FFFFFF" w:val="clear"/>
            <w:tcMar>
              <w:bottom w:w="0" w:type="dxa"/>
            </w:tcMar>
            <w:vAlign w:val="center"/>
          </w:tcPr>
          <w:p>
            <w:pPr>
              <w:pStyle w:val="TableContents"/>
              <w:bidi w:val="0"/>
              <w:spacing w:before="0" w:after="283"/>
              <w:jc w:val="right"/>
              <w:rPr/>
            </w:pPr>
            <w:r>
              <w:rPr/>
              <w:t>(714,899</w:t>
            </w:r>
          </w:p>
        </w:tc>
        <w:tc>
          <w:tcPr>
            <w:tcW w:w="95" w:type="dxa"/>
            <w:tcBorders/>
            <w:shd w:fill="FFFFFF" w:val="clear"/>
            <w:tcMar>
              <w:bottom w:w="0" w:type="dxa"/>
            </w:tcMar>
            <w:vAlign w:val="center"/>
          </w:tcPr>
          <w:p>
            <w:pPr>
              <w:pStyle w:val="TableContents"/>
              <w:bidi w:val="0"/>
              <w:spacing w:before="0" w:after="283"/>
              <w:jc w:val="left"/>
              <w:rPr/>
            </w:pPr>
            <w:r>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175" w:type="dxa"/>
            <w:tcBorders/>
            <w:shd w:fill="FFFFFF" w:val="clear"/>
            <w:tcMar>
              <w:bottom w:w="0" w:type="dxa"/>
            </w:tcMar>
            <w:vAlign w:val="center"/>
          </w:tcPr>
          <w:p>
            <w:pPr>
              <w:pStyle w:val="TableContents"/>
              <w:bidi w:val="0"/>
              <w:spacing w:before="0" w:after="283"/>
              <w:jc w:val="right"/>
              <w:rPr/>
            </w:pPr>
            <w:r>
              <w:rPr/>
              <w:t>(7,249,803</w:t>
            </w:r>
          </w:p>
        </w:tc>
        <w:tc>
          <w:tcPr>
            <w:tcW w:w="95" w:type="dxa"/>
            <w:tcBorders/>
            <w:shd w:fill="FFFFFF" w:val="clear"/>
            <w:tcMar>
              <w:bottom w:w="0" w:type="dxa"/>
            </w:tcMar>
            <w:vAlign w:val="center"/>
          </w:tcPr>
          <w:p>
            <w:pPr>
              <w:pStyle w:val="TableContents"/>
              <w:bidi w:val="0"/>
              <w:spacing w:before="0" w:after="283"/>
              <w:jc w:val="left"/>
              <w:rPr/>
            </w:pPr>
            <w:r>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220" w:type="dxa"/>
            <w:tcBorders/>
            <w:shd w:fill="FFFFFF" w:val="clear"/>
            <w:tcMar>
              <w:bottom w:w="0" w:type="dxa"/>
            </w:tcMar>
            <w:vAlign w:val="center"/>
          </w:tcPr>
          <w:p>
            <w:pPr>
              <w:pStyle w:val="TableContents"/>
              <w:bidi w:val="0"/>
              <w:spacing w:before="0" w:after="283"/>
              <w:jc w:val="right"/>
              <w:rPr/>
            </w:pPr>
            <w:r>
              <w:rPr/>
              <w:t>(3,247,831</w:t>
            </w:r>
          </w:p>
        </w:tc>
        <w:tc>
          <w:tcPr>
            <w:tcW w:w="110" w:type="dxa"/>
            <w:tcBorders/>
            <w:shd w:fill="FFFFFF" w:val="clear"/>
            <w:tcMar>
              <w:bottom w:w="0" w:type="dxa"/>
            </w:tcMar>
            <w:vAlign w:val="center"/>
          </w:tcPr>
          <w:p>
            <w:pPr>
              <w:pStyle w:val="TableContents"/>
              <w:bidi w:val="0"/>
              <w:spacing w:before="0" w:after="283"/>
              <w:jc w:val="left"/>
              <w:rPr/>
            </w:pPr>
            <w:r>
              <w:rPr/>
              <w:t>)</w:t>
            </w:r>
          </w:p>
        </w:tc>
      </w:tr>
      <w:tr>
        <w:trPr/>
        <w:tc>
          <w:tcPr>
            <w:tcW w:w="4735" w:type="dxa"/>
            <w:tcBorders/>
            <w:shd w:fill="CCEEFF" w:val="clear"/>
            <w:tcMar>
              <w:bottom w:w="0" w:type="dxa"/>
            </w:tcMar>
            <w:vAlign w:val="center"/>
          </w:tcPr>
          <w:p>
            <w:pPr>
              <w:pStyle w:val="TableContents"/>
              <w:bidi w:val="0"/>
              <w:spacing w:before="0" w:after="283"/>
              <w:jc w:val="left"/>
              <w:rPr/>
            </w:pPr>
            <w:r>
              <w:rPr/>
              <w:t>Gain on bargain purchase</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100" w:type="dxa"/>
            <w:tcBorders/>
            <w:shd w:fill="CCEEFF" w:val="clear"/>
            <w:tcMar>
              <w:bottom w:w="0" w:type="dxa"/>
            </w:tcMar>
            <w:vAlign w:val="center"/>
          </w:tcPr>
          <w:p>
            <w:pPr>
              <w:pStyle w:val="TableContents"/>
              <w:bidi w:val="0"/>
              <w:spacing w:before="0" w:after="283"/>
              <w:jc w:val="right"/>
              <w:rPr/>
            </w:pPr>
            <w:r>
              <w:rPr/>
              <w:t>174,248</w:t>
            </w:r>
          </w:p>
        </w:tc>
        <w:tc>
          <w:tcPr>
            <w:tcW w:w="9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100" w:type="dxa"/>
            <w:tcBorders/>
            <w:shd w:fill="CCEEFF" w:val="clear"/>
            <w:tcMar>
              <w:bottom w:w="0" w:type="dxa"/>
            </w:tcMar>
            <w:vAlign w:val="center"/>
          </w:tcPr>
          <w:p>
            <w:pPr>
              <w:pStyle w:val="TableContents"/>
              <w:bidi w:val="0"/>
              <w:spacing w:before="0" w:after="283"/>
              <w:jc w:val="right"/>
              <w:rPr/>
            </w:pPr>
            <w:r>
              <w:rPr/>
              <w:t>—</w:t>
            </w:r>
          </w:p>
        </w:tc>
        <w:tc>
          <w:tcPr>
            <w:tcW w:w="9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175" w:type="dxa"/>
            <w:tcBorders/>
            <w:shd w:fill="CCEEFF" w:val="clear"/>
            <w:tcMar>
              <w:bottom w:w="0" w:type="dxa"/>
            </w:tcMar>
            <w:vAlign w:val="center"/>
          </w:tcPr>
          <w:p>
            <w:pPr>
              <w:pStyle w:val="TableContents"/>
              <w:bidi w:val="0"/>
              <w:spacing w:before="0" w:after="283"/>
              <w:jc w:val="right"/>
              <w:rPr/>
            </w:pPr>
            <w:r>
              <w:rPr/>
              <w:t>174,248</w:t>
            </w:r>
          </w:p>
        </w:tc>
        <w:tc>
          <w:tcPr>
            <w:tcW w:w="9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220" w:type="dxa"/>
            <w:tcBorders/>
            <w:shd w:fill="CCEEFF" w:val="clear"/>
            <w:tcMar>
              <w:bottom w:w="0" w:type="dxa"/>
            </w:tcMar>
            <w:vAlign w:val="center"/>
          </w:tcPr>
          <w:p>
            <w:pPr>
              <w:pStyle w:val="TableContents"/>
              <w:bidi w:val="0"/>
              <w:spacing w:before="0" w:after="283"/>
              <w:jc w:val="right"/>
              <w:rPr/>
            </w:pPr>
            <w:r>
              <w:rPr/>
              <w:t>—</w:t>
            </w:r>
          </w:p>
        </w:tc>
        <w:tc>
          <w:tcPr>
            <w:tcW w:w="110" w:type="dxa"/>
            <w:tcBorders/>
            <w:shd w:fill="CCEEFF" w:val="clear"/>
            <w:tcMar>
              <w:bottom w:w="0" w:type="dxa"/>
            </w:tcMar>
            <w:vAlign w:val="center"/>
          </w:tcPr>
          <w:p>
            <w:pPr>
              <w:pStyle w:val="TableContents"/>
              <w:bidi w:val="0"/>
              <w:spacing w:before="0" w:after="283"/>
              <w:jc w:val="left"/>
              <w:rPr/>
            </w:pPr>
            <w:r>
              <w:rPr/>
              <w:t> </w:t>
            </w:r>
          </w:p>
        </w:tc>
      </w:tr>
      <w:tr>
        <w:trPr/>
        <w:tc>
          <w:tcPr>
            <w:tcW w:w="4735" w:type="dxa"/>
            <w:tcBorders/>
            <w:shd w:fill="FFFFFF" w:val="clear"/>
            <w:tcMar>
              <w:bottom w:w="0" w:type="dxa"/>
            </w:tcMar>
            <w:vAlign w:val="center"/>
          </w:tcPr>
          <w:p>
            <w:pPr>
              <w:pStyle w:val="TableContents"/>
              <w:bidi w:val="0"/>
              <w:spacing w:before="0" w:after="283"/>
              <w:jc w:val="left"/>
              <w:rPr/>
            </w:pPr>
            <w:r>
              <w:rPr/>
              <w:t>Fair value gains/(losses) in financial instruments carried at fair value</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100" w:type="dxa"/>
            <w:tcBorders/>
            <w:shd w:fill="FFFFFF" w:val="clear"/>
            <w:tcMar>
              <w:bottom w:w="0" w:type="dxa"/>
            </w:tcMar>
            <w:vAlign w:val="center"/>
          </w:tcPr>
          <w:p>
            <w:pPr>
              <w:pStyle w:val="TableContents"/>
              <w:bidi w:val="0"/>
              <w:spacing w:before="0" w:after="283"/>
              <w:jc w:val="right"/>
              <w:rPr/>
            </w:pPr>
            <w:r>
              <w:rPr/>
              <w:t>635,187</w:t>
            </w:r>
          </w:p>
        </w:tc>
        <w:tc>
          <w:tcPr>
            <w:tcW w:w="9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100" w:type="dxa"/>
            <w:tcBorders/>
            <w:shd w:fill="FFFFFF" w:val="clear"/>
            <w:tcMar>
              <w:bottom w:w="0" w:type="dxa"/>
            </w:tcMar>
            <w:vAlign w:val="center"/>
          </w:tcPr>
          <w:p>
            <w:pPr>
              <w:pStyle w:val="TableContents"/>
              <w:bidi w:val="0"/>
              <w:spacing w:before="0" w:after="283"/>
              <w:jc w:val="right"/>
              <w:rPr/>
            </w:pPr>
            <w:r>
              <w:rPr/>
              <w:t>1,681,725</w:t>
            </w:r>
          </w:p>
        </w:tc>
        <w:tc>
          <w:tcPr>
            <w:tcW w:w="9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175" w:type="dxa"/>
            <w:tcBorders/>
            <w:shd w:fill="FFFFFF" w:val="clear"/>
            <w:tcMar>
              <w:bottom w:w="0" w:type="dxa"/>
            </w:tcMar>
            <w:vAlign w:val="center"/>
          </w:tcPr>
          <w:p>
            <w:pPr>
              <w:pStyle w:val="TableContents"/>
              <w:bidi w:val="0"/>
              <w:spacing w:before="0" w:after="283"/>
              <w:jc w:val="right"/>
              <w:rPr/>
            </w:pPr>
            <w:r>
              <w:rPr/>
              <w:t>(3,984,386</w:t>
            </w:r>
          </w:p>
        </w:tc>
        <w:tc>
          <w:tcPr>
            <w:tcW w:w="95" w:type="dxa"/>
            <w:tcBorders/>
            <w:shd w:fill="FFFFFF" w:val="clear"/>
            <w:tcMar>
              <w:bottom w:w="0" w:type="dxa"/>
            </w:tcMar>
            <w:vAlign w:val="center"/>
          </w:tcPr>
          <w:p>
            <w:pPr>
              <w:pStyle w:val="TableContents"/>
              <w:bidi w:val="0"/>
              <w:spacing w:before="0" w:after="283"/>
              <w:jc w:val="left"/>
              <w:rPr/>
            </w:pPr>
            <w:r>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220" w:type="dxa"/>
            <w:tcBorders/>
            <w:shd w:fill="FFFFFF" w:val="clear"/>
            <w:tcMar>
              <w:bottom w:w="0" w:type="dxa"/>
            </w:tcMar>
            <w:vAlign w:val="center"/>
          </w:tcPr>
          <w:p>
            <w:pPr>
              <w:pStyle w:val="TableContents"/>
              <w:bidi w:val="0"/>
              <w:spacing w:before="0" w:after="283"/>
              <w:jc w:val="right"/>
              <w:rPr/>
            </w:pPr>
            <w:r>
              <w:rPr/>
              <w:t>(14,844,420</w:t>
            </w:r>
          </w:p>
        </w:tc>
        <w:tc>
          <w:tcPr>
            <w:tcW w:w="110" w:type="dxa"/>
            <w:tcBorders/>
            <w:shd w:fill="FFFFFF" w:val="clear"/>
            <w:tcMar>
              <w:bottom w:w="0" w:type="dxa"/>
            </w:tcMar>
            <w:vAlign w:val="center"/>
          </w:tcPr>
          <w:p>
            <w:pPr>
              <w:pStyle w:val="TableContents"/>
              <w:bidi w:val="0"/>
              <w:spacing w:before="0" w:after="283"/>
              <w:jc w:val="left"/>
              <w:rPr/>
            </w:pPr>
            <w:r>
              <w:rPr/>
              <w:t>)</w:t>
            </w:r>
          </w:p>
        </w:tc>
      </w:tr>
      <w:tr>
        <w:trPr/>
        <w:tc>
          <w:tcPr>
            <w:tcW w:w="4735" w:type="dxa"/>
            <w:tcBorders/>
            <w:shd w:fill="CCEEFF" w:val="clear"/>
            <w:tcMar>
              <w:bottom w:w="0" w:type="dxa"/>
            </w:tcMar>
            <w:vAlign w:val="center"/>
          </w:tcPr>
          <w:p>
            <w:pPr>
              <w:pStyle w:val="TableContents"/>
              <w:bidi w:val="0"/>
              <w:spacing w:before="0" w:after="283"/>
              <w:jc w:val="left"/>
              <w:rPr/>
            </w:pPr>
            <w:r>
              <w:rPr/>
              <w:t>Impairment of investment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100" w:type="dxa"/>
            <w:tcBorders/>
            <w:shd w:fill="CCEEFF" w:val="clear"/>
            <w:tcMar>
              <w:bottom w:w="0" w:type="dxa"/>
            </w:tcMar>
            <w:vAlign w:val="center"/>
          </w:tcPr>
          <w:p>
            <w:pPr>
              <w:pStyle w:val="TableContents"/>
              <w:bidi w:val="0"/>
              <w:spacing w:before="0" w:after="283"/>
              <w:jc w:val="right"/>
              <w:rPr/>
            </w:pPr>
            <w:r>
              <w:rPr/>
              <w:t>(269,470</w:t>
            </w:r>
          </w:p>
        </w:tc>
        <w:tc>
          <w:tcPr>
            <w:tcW w:w="95" w:type="dxa"/>
            <w:tcBorders/>
            <w:shd w:fill="CCEEFF" w:val="clear"/>
            <w:tcMar>
              <w:bottom w:w="0" w:type="dxa"/>
            </w:tcMar>
            <w:vAlign w:val="center"/>
          </w:tcPr>
          <w:p>
            <w:pPr>
              <w:pStyle w:val="TableContents"/>
              <w:bidi w:val="0"/>
              <w:spacing w:before="0" w:after="283"/>
              <w:jc w:val="lef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100" w:type="dxa"/>
            <w:tcBorders/>
            <w:shd w:fill="CCEEFF" w:val="clear"/>
            <w:tcMar>
              <w:bottom w:w="0" w:type="dxa"/>
            </w:tcMar>
            <w:vAlign w:val="center"/>
          </w:tcPr>
          <w:p>
            <w:pPr>
              <w:pStyle w:val="TableContents"/>
              <w:bidi w:val="0"/>
              <w:spacing w:before="0" w:after="283"/>
              <w:jc w:val="right"/>
              <w:rPr/>
            </w:pPr>
            <w:r>
              <w:rPr/>
              <w:t>(1,245,326</w:t>
            </w:r>
          </w:p>
        </w:tc>
        <w:tc>
          <w:tcPr>
            <w:tcW w:w="95" w:type="dxa"/>
            <w:tcBorders/>
            <w:shd w:fill="CCEEFF" w:val="clear"/>
            <w:tcMar>
              <w:bottom w:w="0" w:type="dxa"/>
            </w:tcMar>
            <w:vAlign w:val="center"/>
          </w:tcPr>
          <w:p>
            <w:pPr>
              <w:pStyle w:val="TableContents"/>
              <w:bidi w:val="0"/>
              <w:spacing w:before="0" w:after="283"/>
              <w:jc w:val="lef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175" w:type="dxa"/>
            <w:tcBorders/>
            <w:shd w:fill="CCEEFF" w:val="clear"/>
            <w:tcMar>
              <w:bottom w:w="0" w:type="dxa"/>
            </w:tcMar>
            <w:vAlign w:val="center"/>
          </w:tcPr>
          <w:p>
            <w:pPr>
              <w:pStyle w:val="TableContents"/>
              <w:bidi w:val="0"/>
              <w:spacing w:before="0" w:after="283"/>
              <w:jc w:val="right"/>
              <w:rPr/>
            </w:pPr>
            <w:r>
              <w:rPr/>
              <w:t>(269,470</w:t>
            </w:r>
          </w:p>
        </w:tc>
        <w:tc>
          <w:tcPr>
            <w:tcW w:w="95" w:type="dxa"/>
            <w:tcBorders/>
            <w:shd w:fill="CCEEFF" w:val="clear"/>
            <w:tcMar>
              <w:bottom w:w="0" w:type="dxa"/>
            </w:tcMar>
            <w:vAlign w:val="center"/>
          </w:tcPr>
          <w:p>
            <w:pPr>
              <w:pStyle w:val="TableContents"/>
              <w:bidi w:val="0"/>
              <w:spacing w:before="0" w:after="283"/>
              <w:jc w:val="lef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220" w:type="dxa"/>
            <w:tcBorders/>
            <w:shd w:fill="CCEEFF" w:val="clear"/>
            <w:tcMar>
              <w:bottom w:w="0" w:type="dxa"/>
            </w:tcMar>
            <w:vAlign w:val="center"/>
          </w:tcPr>
          <w:p>
            <w:pPr>
              <w:pStyle w:val="TableContents"/>
              <w:bidi w:val="0"/>
              <w:spacing w:before="0" w:after="283"/>
              <w:jc w:val="right"/>
              <w:rPr/>
            </w:pPr>
            <w:r>
              <w:rPr/>
              <w:t>(1,245,326</w:t>
            </w:r>
          </w:p>
        </w:tc>
        <w:tc>
          <w:tcPr>
            <w:tcW w:w="110" w:type="dxa"/>
            <w:tcBorders/>
            <w:shd w:fill="CCEEFF" w:val="clear"/>
            <w:tcMar>
              <w:bottom w:w="0" w:type="dxa"/>
            </w:tcMar>
            <w:vAlign w:val="center"/>
          </w:tcPr>
          <w:p>
            <w:pPr>
              <w:pStyle w:val="TableContents"/>
              <w:bidi w:val="0"/>
              <w:spacing w:before="0" w:after="283"/>
              <w:jc w:val="left"/>
              <w:rPr/>
            </w:pPr>
            <w:r>
              <w:rPr/>
              <w:t>)</w:t>
            </w:r>
          </w:p>
        </w:tc>
      </w:tr>
      <w:tr>
        <w:trPr/>
        <w:tc>
          <w:tcPr>
            <w:tcW w:w="4735" w:type="dxa"/>
            <w:tcBorders/>
            <w:shd w:fill="FFFFFF" w:val="clear"/>
            <w:tcMar>
              <w:bottom w:w="0" w:type="dxa"/>
            </w:tcMar>
            <w:vAlign w:val="center"/>
          </w:tcPr>
          <w:p>
            <w:pPr>
              <w:pStyle w:val="TableContents"/>
              <w:bidi w:val="0"/>
              <w:spacing w:before="0" w:after="283"/>
              <w:jc w:val="left"/>
              <w:rPr/>
            </w:pPr>
            <w:r>
              <w:rPr/>
              <w:t>Other income (net)</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bottom w:val="single" w:sz="8" w:space="0" w:color="000000"/>
            </w:tcBorders>
            <w:shd w:fill="FFFFFF" w:val="clear"/>
            <w:vAlign w:val="center"/>
          </w:tcPr>
          <w:p>
            <w:pPr>
              <w:pStyle w:val="TableContents"/>
              <w:bidi w:val="0"/>
              <w:spacing w:before="0" w:after="283"/>
              <w:jc w:val="left"/>
              <w:rPr/>
            </w:pPr>
            <w:r>
              <w:rPr/>
              <w:t> </w:t>
            </w:r>
          </w:p>
        </w:tc>
        <w:tc>
          <w:tcPr>
            <w:tcW w:w="1100" w:type="dxa"/>
            <w:tcBorders>
              <w:bottom w:val="single" w:sz="8" w:space="0" w:color="000000"/>
            </w:tcBorders>
            <w:shd w:fill="FFFFFF" w:val="clear"/>
            <w:vAlign w:val="center"/>
          </w:tcPr>
          <w:p>
            <w:pPr>
              <w:pStyle w:val="TableContents"/>
              <w:bidi w:val="0"/>
              <w:spacing w:before="0" w:after="283"/>
              <w:jc w:val="right"/>
              <w:rPr/>
            </w:pPr>
            <w:r>
              <w:rPr/>
              <w:t>(193,775</w:t>
            </w:r>
          </w:p>
        </w:tc>
        <w:tc>
          <w:tcPr>
            <w:tcW w:w="95" w:type="dxa"/>
            <w:tcBorders/>
            <w:shd w:fill="FFFFFF" w:val="clear"/>
            <w:tcMar>
              <w:bottom w:w="0" w:type="dxa"/>
            </w:tcMar>
            <w:vAlign w:val="center"/>
          </w:tcPr>
          <w:p>
            <w:pPr>
              <w:pStyle w:val="TableContents"/>
              <w:bidi w:val="0"/>
              <w:spacing w:before="0" w:after="283"/>
              <w:jc w:val="left"/>
              <w:rPr/>
            </w:pPr>
            <w:r>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bottom w:val="single" w:sz="8" w:space="0" w:color="000000"/>
            </w:tcBorders>
            <w:shd w:fill="FFFFFF" w:val="clear"/>
            <w:vAlign w:val="center"/>
          </w:tcPr>
          <w:p>
            <w:pPr>
              <w:pStyle w:val="TableContents"/>
              <w:bidi w:val="0"/>
              <w:spacing w:before="0" w:after="283"/>
              <w:jc w:val="left"/>
              <w:rPr/>
            </w:pPr>
            <w:r>
              <w:rPr/>
              <w:t> </w:t>
            </w:r>
          </w:p>
        </w:tc>
        <w:tc>
          <w:tcPr>
            <w:tcW w:w="1100" w:type="dxa"/>
            <w:tcBorders>
              <w:bottom w:val="single" w:sz="8" w:space="0" w:color="000000"/>
            </w:tcBorders>
            <w:shd w:fill="FFFFFF" w:val="clear"/>
            <w:vAlign w:val="center"/>
          </w:tcPr>
          <w:p>
            <w:pPr>
              <w:pStyle w:val="TableContents"/>
              <w:bidi w:val="0"/>
              <w:spacing w:before="0" w:after="283"/>
              <w:jc w:val="right"/>
              <w:rPr/>
            </w:pPr>
            <w:r>
              <w:rPr/>
              <w:t>3,861,541</w:t>
            </w:r>
          </w:p>
        </w:tc>
        <w:tc>
          <w:tcPr>
            <w:tcW w:w="9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bottom w:val="single" w:sz="8" w:space="0" w:color="000000"/>
            </w:tcBorders>
            <w:shd w:fill="FFFFFF" w:val="clear"/>
            <w:vAlign w:val="center"/>
          </w:tcPr>
          <w:p>
            <w:pPr>
              <w:pStyle w:val="TableContents"/>
              <w:bidi w:val="0"/>
              <w:spacing w:before="0" w:after="283"/>
              <w:jc w:val="left"/>
              <w:rPr/>
            </w:pPr>
            <w:r>
              <w:rPr/>
              <w:t> </w:t>
            </w:r>
          </w:p>
        </w:tc>
        <w:tc>
          <w:tcPr>
            <w:tcW w:w="1175" w:type="dxa"/>
            <w:tcBorders>
              <w:bottom w:val="single" w:sz="8" w:space="0" w:color="000000"/>
            </w:tcBorders>
            <w:shd w:fill="FFFFFF" w:val="clear"/>
            <w:vAlign w:val="center"/>
          </w:tcPr>
          <w:p>
            <w:pPr>
              <w:pStyle w:val="TableContents"/>
              <w:bidi w:val="0"/>
              <w:spacing w:before="0" w:after="283"/>
              <w:jc w:val="right"/>
              <w:rPr/>
            </w:pPr>
            <w:r>
              <w:rPr/>
              <w:t>2,329,515</w:t>
            </w:r>
          </w:p>
        </w:tc>
        <w:tc>
          <w:tcPr>
            <w:tcW w:w="9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bottom w:val="single" w:sz="8" w:space="0" w:color="000000"/>
            </w:tcBorders>
            <w:shd w:fill="FFFFFF" w:val="clear"/>
            <w:vAlign w:val="center"/>
          </w:tcPr>
          <w:p>
            <w:pPr>
              <w:pStyle w:val="TableContents"/>
              <w:bidi w:val="0"/>
              <w:spacing w:before="0" w:after="283"/>
              <w:jc w:val="left"/>
              <w:rPr/>
            </w:pPr>
            <w:r>
              <w:rPr/>
              <w:t> </w:t>
            </w:r>
          </w:p>
        </w:tc>
        <w:tc>
          <w:tcPr>
            <w:tcW w:w="1220" w:type="dxa"/>
            <w:tcBorders>
              <w:bottom w:val="single" w:sz="8" w:space="0" w:color="000000"/>
            </w:tcBorders>
            <w:shd w:fill="FFFFFF" w:val="clear"/>
            <w:vAlign w:val="center"/>
          </w:tcPr>
          <w:p>
            <w:pPr>
              <w:pStyle w:val="TableContents"/>
              <w:bidi w:val="0"/>
              <w:spacing w:before="0" w:after="283"/>
              <w:jc w:val="right"/>
              <w:rPr/>
            </w:pPr>
            <w:r>
              <w:rPr/>
              <w:t>7,073,235</w:t>
            </w:r>
          </w:p>
        </w:tc>
        <w:tc>
          <w:tcPr>
            <w:tcW w:w="110" w:type="dxa"/>
            <w:tcBorders/>
            <w:shd w:fill="FFFFFF" w:val="clear"/>
            <w:tcMar>
              <w:bottom w:w="0" w:type="dxa"/>
            </w:tcMar>
            <w:vAlign w:val="center"/>
          </w:tcPr>
          <w:p>
            <w:pPr>
              <w:pStyle w:val="TableContents"/>
              <w:bidi w:val="0"/>
              <w:spacing w:before="0" w:after="283"/>
              <w:jc w:val="left"/>
              <w:rPr/>
            </w:pPr>
            <w:r>
              <w:rPr/>
              <w:t> </w:t>
            </w:r>
          </w:p>
        </w:tc>
      </w:tr>
      <w:tr>
        <w:trPr/>
        <w:tc>
          <w:tcPr>
            <w:tcW w:w="4735" w:type="dxa"/>
            <w:tcBorders/>
            <w:shd w:fill="CCEEFF" w:val="clear"/>
            <w:tcMar>
              <w:bottom w:w="0" w:type="dxa"/>
            </w:tcMar>
            <w:vAlign w:val="center"/>
          </w:tcPr>
          <w:p>
            <w:pPr>
              <w:pStyle w:val="TableContents"/>
              <w:bidi w:val="0"/>
              <w:spacing w:before="0" w:after="283"/>
              <w:jc w:val="left"/>
              <w:rPr>
                <w:b/>
              </w:rPr>
            </w:pPr>
            <w:r>
              <w:rPr>
                <w:b/>
              </w:rPr>
              <w:t>Total other income/(expense)</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bottom w:val="single" w:sz="8" w:space="0" w:color="000000"/>
            </w:tcBorders>
            <w:shd w:fill="CCEEFF" w:val="clear"/>
            <w:vAlign w:val="center"/>
          </w:tcPr>
          <w:p>
            <w:pPr>
              <w:pStyle w:val="TableContents"/>
              <w:bidi w:val="0"/>
              <w:spacing w:before="0" w:after="283"/>
              <w:jc w:val="left"/>
              <w:rPr/>
            </w:pPr>
            <w:r>
              <w:rPr/>
              <w:t> </w:t>
            </w:r>
          </w:p>
        </w:tc>
        <w:tc>
          <w:tcPr>
            <w:tcW w:w="1100" w:type="dxa"/>
            <w:tcBorders>
              <w:bottom w:val="single" w:sz="8" w:space="0" w:color="000000"/>
            </w:tcBorders>
            <w:shd w:fill="CCEEFF" w:val="clear"/>
            <w:vAlign w:val="center"/>
          </w:tcPr>
          <w:p>
            <w:pPr>
              <w:pStyle w:val="TableContents"/>
              <w:bidi w:val="0"/>
              <w:spacing w:before="0" w:after="283"/>
              <w:jc w:val="right"/>
              <w:rPr>
                <w:b/>
              </w:rPr>
            </w:pPr>
            <w:r>
              <w:rPr>
                <w:b/>
              </w:rPr>
              <w:t>(1,525,574</w:t>
            </w:r>
          </w:p>
        </w:tc>
        <w:tc>
          <w:tcPr>
            <w:tcW w:w="95" w:type="dxa"/>
            <w:tcBorders/>
            <w:shd w:fill="CCEEFF" w:val="clear"/>
            <w:tcMar>
              <w:bottom w:w="0" w:type="dxa"/>
            </w:tcMar>
            <w:vAlign w:val="center"/>
          </w:tcPr>
          <w:p>
            <w:pPr>
              <w:pStyle w:val="TableContents"/>
              <w:bidi w:val="0"/>
              <w:spacing w:before="0" w:after="283"/>
              <w:jc w:val="left"/>
              <w:rPr>
                <w:b/>
              </w:rPr>
            </w:pPr>
            <w:r>
              <w:rPr>
                <w:b/>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bottom w:val="single" w:sz="8" w:space="0" w:color="000000"/>
            </w:tcBorders>
            <w:shd w:fill="CCEEFF" w:val="clear"/>
            <w:vAlign w:val="center"/>
          </w:tcPr>
          <w:p>
            <w:pPr>
              <w:pStyle w:val="TableContents"/>
              <w:bidi w:val="0"/>
              <w:spacing w:before="0" w:after="283"/>
              <w:jc w:val="left"/>
              <w:rPr/>
            </w:pPr>
            <w:r>
              <w:rPr/>
              <w:t> </w:t>
            </w:r>
          </w:p>
        </w:tc>
        <w:tc>
          <w:tcPr>
            <w:tcW w:w="1100" w:type="dxa"/>
            <w:tcBorders>
              <w:bottom w:val="single" w:sz="8" w:space="0" w:color="000000"/>
            </w:tcBorders>
            <w:shd w:fill="CCEEFF" w:val="clear"/>
            <w:vAlign w:val="center"/>
          </w:tcPr>
          <w:p>
            <w:pPr>
              <w:pStyle w:val="TableContents"/>
              <w:bidi w:val="0"/>
              <w:spacing w:before="0" w:after="283"/>
              <w:jc w:val="right"/>
              <w:rPr>
                <w:b/>
              </w:rPr>
            </w:pPr>
            <w:r>
              <w:rPr>
                <w:b/>
              </w:rPr>
              <w:t>3,583,041</w:t>
            </w:r>
          </w:p>
        </w:tc>
        <w:tc>
          <w:tcPr>
            <w:tcW w:w="9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bottom w:val="single" w:sz="8" w:space="0" w:color="000000"/>
            </w:tcBorders>
            <w:shd w:fill="CCEEFF" w:val="clear"/>
            <w:vAlign w:val="center"/>
          </w:tcPr>
          <w:p>
            <w:pPr>
              <w:pStyle w:val="TableContents"/>
              <w:bidi w:val="0"/>
              <w:spacing w:before="0" w:after="283"/>
              <w:jc w:val="left"/>
              <w:rPr/>
            </w:pPr>
            <w:r>
              <w:rPr/>
              <w:t> </w:t>
            </w:r>
          </w:p>
        </w:tc>
        <w:tc>
          <w:tcPr>
            <w:tcW w:w="1175" w:type="dxa"/>
            <w:tcBorders>
              <w:bottom w:val="single" w:sz="8" w:space="0" w:color="000000"/>
            </w:tcBorders>
            <w:shd w:fill="CCEEFF" w:val="clear"/>
            <w:vAlign w:val="center"/>
          </w:tcPr>
          <w:p>
            <w:pPr>
              <w:pStyle w:val="TableContents"/>
              <w:bidi w:val="0"/>
              <w:spacing w:before="0" w:after="283"/>
              <w:jc w:val="right"/>
              <w:rPr>
                <w:b/>
              </w:rPr>
            </w:pPr>
            <w:r>
              <w:rPr>
                <w:b/>
              </w:rPr>
              <w:t>(8,999,896</w:t>
            </w:r>
          </w:p>
        </w:tc>
        <w:tc>
          <w:tcPr>
            <w:tcW w:w="95" w:type="dxa"/>
            <w:tcBorders/>
            <w:shd w:fill="CCEEFF" w:val="clear"/>
            <w:tcMar>
              <w:bottom w:w="0" w:type="dxa"/>
            </w:tcMar>
            <w:vAlign w:val="center"/>
          </w:tcPr>
          <w:p>
            <w:pPr>
              <w:pStyle w:val="TableContents"/>
              <w:bidi w:val="0"/>
              <w:spacing w:before="0" w:after="283"/>
              <w:jc w:val="left"/>
              <w:rPr>
                <w:b/>
              </w:rPr>
            </w:pPr>
            <w:r>
              <w:rPr>
                <w:b/>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bottom w:val="single" w:sz="8" w:space="0" w:color="000000"/>
            </w:tcBorders>
            <w:shd w:fill="CCEEFF" w:val="clear"/>
            <w:vAlign w:val="center"/>
          </w:tcPr>
          <w:p>
            <w:pPr>
              <w:pStyle w:val="TableContents"/>
              <w:bidi w:val="0"/>
              <w:spacing w:before="0" w:after="283"/>
              <w:jc w:val="left"/>
              <w:rPr/>
            </w:pPr>
            <w:r>
              <w:rPr/>
              <w:t> </w:t>
            </w:r>
          </w:p>
        </w:tc>
        <w:tc>
          <w:tcPr>
            <w:tcW w:w="1220" w:type="dxa"/>
            <w:tcBorders>
              <w:bottom w:val="single" w:sz="8" w:space="0" w:color="000000"/>
            </w:tcBorders>
            <w:shd w:fill="CCEEFF" w:val="clear"/>
            <w:vAlign w:val="center"/>
          </w:tcPr>
          <w:p>
            <w:pPr>
              <w:pStyle w:val="TableContents"/>
              <w:bidi w:val="0"/>
              <w:spacing w:before="0" w:after="283"/>
              <w:jc w:val="right"/>
              <w:rPr>
                <w:b/>
              </w:rPr>
            </w:pPr>
            <w:r>
              <w:rPr>
                <w:b/>
              </w:rPr>
              <w:t>(12,264,342</w:t>
            </w:r>
          </w:p>
        </w:tc>
        <w:tc>
          <w:tcPr>
            <w:tcW w:w="110" w:type="dxa"/>
            <w:tcBorders/>
            <w:shd w:fill="CCEEFF" w:val="clear"/>
            <w:tcMar>
              <w:bottom w:w="0" w:type="dxa"/>
            </w:tcMar>
            <w:vAlign w:val="center"/>
          </w:tcPr>
          <w:p>
            <w:pPr>
              <w:pStyle w:val="TableContents"/>
              <w:bidi w:val="0"/>
              <w:spacing w:before="0" w:after="283"/>
              <w:jc w:val="left"/>
              <w:rPr>
                <w:b/>
              </w:rPr>
            </w:pPr>
            <w:r>
              <w:rPr>
                <w:b/>
              </w:rPr>
              <w:t>)</w:t>
            </w:r>
          </w:p>
        </w:tc>
      </w:tr>
      <w:tr>
        <w:trPr/>
        <w:tc>
          <w:tcPr>
            <w:tcW w:w="4735" w:type="dxa"/>
            <w:tcBorders/>
            <w:shd w:fill="FFFFFF" w:val="clear"/>
            <w:tcMar>
              <w:bottom w:w="0" w:type="dxa"/>
            </w:tcMar>
            <w:vAlign w:val="center"/>
          </w:tcPr>
          <w:p>
            <w:pPr>
              <w:pStyle w:val="TableContents"/>
              <w:bidi w:val="0"/>
              <w:spacing w:before="0" w:after="283"/>
              <w:jc w:val="left"/>
              <w:rPr>
                <w:b/>
              </w:rPr>
            </w:pPr>
            <w:r>
              <w:rPr>
                <w:b/>
              </w:rPr>
              <w:t>Loss before income taxes and equity-method investment activity</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100" w:type="dxa"/>
            <w:tcBorders/>
            <w:shd w:fill="FFFFFF" w:val="clear"/>
            <w:tcMar>
              <w:bottom w:w="0" w:type="dxa"/>
            </w:tcMar>
            <w:vAlign w:val="center"/>
          </w:tcPr>
          <w:p>
            <w:pPr>
              <w:pStyle w:val="TableContents"/>
              <w:bidi w:val="0"/>
              <w:spacing w:before="0" w:after="283"/>
              <w:jc w:val="right"/>
              <w:rPr>
                <w:b/>
              </w:rPr>
            </w:pPr>
            <w:r>
              <w:rPr>
                <w:b/>
              </w:rPr>
              <w:t>(7,302,611</w:t>
            </w:r>
          </w:p>
        </w:tc>
        <w:tc>
          <w:tcPr>
            <w:tcW w:w="95" w:type="dxa"/>
            <w:tcBorders/>
            <w:shd w:fill="FFFFFF" w:val="clear"/>
            <w:tcMar>
              <w:bottom w:w="0" w:type="dxa"/>
            </w:tcMar>
            <w:vAlign w:val="center"/>
          </w:tcPr>
          <w:p>
            <w:pPr>
              <w:pStyle w:val="TableContents"/>
              <w:bidi w:val="0"/>
              <w:spacing w:before="0" w:after="283"/>
              <w:jc w:val="left"/>
              <w:rPr>
                <w:b/>
              </w:rPr>
            </w:pPr>
            <w:r>
              <w:rPr>
                <w:b/>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100" w:type="dxa"/>
            <w:tcBorders/>
            <w:shd w:fill="FFFFFF" w:val="clear"/>
            <w:tcMar>
              <w:bottom w:w="0" w:type="dxa"/>
            </w:tcMar>
            <w:vAlign w:val="center"/>
          </w:tcPr>
          <w:p>
            <w:pPr>
              <w:pStyle w:val="TableContents"/>
              <w:bidi w:val="0"/>
              <w:spacing w:before="0" w:after="283"/>
              <w:jc w:val="right"/>
              <w:rPr>
                <w:b/>
              </w:rPr>
            </w:pPr>
            <w:r>
              <w:rPr>
                <w:b/>
              </w:rPr>
              <w:t>(98,933</w:t>
            </w:r>
          </w:p>
        </w:tc>
        <w:tc>
          <w:tcPr>
            <w:tcW w:w="95" w:type="dxa"/>
            <w:tcBorders/>
            <w:shd w:fill="FFFFFF" w:val="clear"/>
            <w:tcMar>
              <w:bottom w:w="0" w:type="dxa"/>
            </w:tcMar>
            <w:vAlign w:val="center"/>
          </w:tcPr>
          <w:p>
            <w:pPr>
              <w:pStyle w:val="TableContents"/>
              <w:bidi w:val="0"/>
              <w:spacing w:before="0" w:after="283"/>
              <w:jc w:val="left"/>
              <w:rPr>
                <w:b/>
              </w:rPr>
            </w:pPr>
            <w:r>
              <w:rPr>
                <w:b/>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175" w:type="dxa"/>
            <w:tcBorders/>
            <w:shd w:fill="FFFFFF" w:val="clear"/>
            <w:tcMar>
              <w:bottom w:w="0" w:type="dxa"/>
            </w:tcMar>
            <w:vAlign w:val="center"/>
          </w:tcPr>
          <w:p>
            <w:pPr>
              <w:pStyle w:val="TableContents"/>
              <w:bidi w:val="0"/>
              <w:spacing w:before="0" w:after="283"/>
              <w:jc w:val="right"/>
              <w:rPr>
                <w:b/>
              </w:rPr>
            </w:pPr>
            <w:r>
              <w:rPr>
                <w:b/>
              </w:rPr>
              <w:t>(22,996,950</w:t>
            </w:r>
          </w:p>
        </w:tc>
        <w:tc>
          <w:tcPr>
            <w:tcW w:w="95" w:type="dxa"/>
            <w:tcBorders/>
            <w:shd w:fill="FFFFFF" w:val="clear"/>
            <w:tcMar>
              <w:bottom w:w="0" w:type="dxa"/>
            </w:tcMar>
            <w:vAlign w:val="center"/>
          </w:tcPr>
          <w:p>
            <w:pPr>
              <w:pStyle w:val="TableContents"/>
              <w:bidi w:val="0"/>
              <w:spacing w:before="0" w:after="283"/>
              <w:jc w:val="left"/>
              <w:rPr>
                <w:b/>
              </w:rPr>
            </w:pPr>
            <w:r>
              <w:rPr>
                <w:b/>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220" w:type="dxa"/>
            <w:tcBorders/>
            <w:shd w:fill="FFFFFF" w:val="clear"/>
            <w:tcMar>
              <w:bottom w:w="0" w:type="dxa"/>
            </w:tcMar>
            <w:vAlign w:val="center"/>
          </w:tcPr>
          <w:p>
            <w:pPr>
              <w:pStyle w:val="TableContents"/>
              <w:bidi w:val="0"/>
              <w:spacing w:before="0" w:after="283"/>
              <w:jc w:val="right"/>
              <w:rPr>
                <w:b/>
              </w:rPr>
            </w:pPr>
            <w:r>
              <w:rPr>
                <w:b/>
              </w:rPr>
              <w:t>(73,077,284</w:t>
            </w:r>
          </w:p>
        </w:tc>
        <w:tc>
          <w:tcPr>
            <w:tcW w:w="110" w:type="dxa"/>
            <w:tcBorders/>
            <w:shd w:fill="FFFFFF" w:val="clear"/>
            <w:tcMar>
              <w:bottom w:w="0" w:type="dxa"/>
            </w:tcMar>
            <w:vAlign w:val="center"/>
          </w:tcPr>
          <w:p>
            <w:pPr>
              <w:pStyle w:val="TableContents"/>
              <w:bidi w:val="0"/>
              <w:spacing w:before="0" w:after="283"/>
              <w:jc w:val="left"/>
              <w:rPr>
                <w:b/>
              </w:rPr>
            </w:pPr>
            <w:r>
              <w:rPr>
                <w:b/>
              </w:rPr>
              <w:t>)</w:t>
            </w:r>
          </w:p>
        </w:tc>
      </w:tr>
      <w:tr>
        <w:trPr/>
        <w:tc>
          <w:tcPr>
            <w:tcW w:w="4735" w:type="dxa"/>
            <w:tcBorders/>
            <w:shd w:fill="CCEEFF" w:val="clear"/>
            <w:tcMar>
              <w:bottom w:w="0" w:type="dxa"/>
            </w:tcMar>
            <w:vAlign w:val="center"/>
          </w:tcPr>
          <w:p>
            <w:pPr>
              <w:pStyle w:val="TableContents"/>
              <w:bidi w:val="0"/>
              <w:spacing w:before="0" w:after="283"/>
              <w:jc w:val="left"/>
              <w:rPr>
                <w:b/>
              </w:rPr>
            </w:pPr>
            <w:r>
              <w:rPr>
                <w:b/>
              </w:rPr>
              <w:t>Equity method investment activity, net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bottom w:val="single" w:sz="8" w:space="0" w:color="000000"/>
            </w:tcBorders>
            <w:shd w:fill="CCEEFF" w:val="clear"/>
            <w:vAlign w:val="center"/>
          </w:tcPr>
          <w:p>
            <w:pPr>
              <w:pStyle w:val="TableContents"/>
              <w:bidi w:val="0"/>
              <w:spacing w:before="0" w:after="283"/>
              <w:jc w:val="left"/>
              <w:rPr/>
            </w:pPr>
            <w:r>
              <w:rPr/>
              <w:t> </w:t>
            </w:r>
          </w:p>
        </w:tc>
        <w:tc>
          <w:tcPr>
            <w:tcW w:w="1100" w:type="dxa"/>
            <w:tcBorders>
              <w:bottom w:val="single" w:sz="8" w:space="0" w:color="000000"/>
            </w:tcBorders>
            <w:shd w:fill="CCEEFF" w:val="clear"/>
            <w:vAlign w:val="center"/>
          </w:tcPr>
          <w:p>
            <w:pPr>
              <w:pStyle w:val="TableContents"/>
              <w:bidi w:val="0"/>
              <w:spacing w:before="0" w:after="283"/>
              <w:jc w:val="right"/>
              <w:rPr/>
            </w:pPr>
            <w:r>
              <w:rPr/>
              <w:t>—</w:t>
            </w:r>
          </w:p>
        </w:tc>
        <w:tc>
          <w:tcPr>
            <w:tcW w:w="9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bottom w:val="single" w:sz="8" w:space="0" w:color="000000"/>
            </w:tcBorders>
            <w:shd w:fill="CCEEFF" w:val="clear"/>
            <w:vAlign w:val="center"/>
          </w:tcPr>
          <w:p>
            <w:pPr>
              <w:pStyle w:val="TableContents"/>
              <w:bidi w:val="0"/>
              <w:spacing w:before="0" w:after="283"/>
              <w:jc w:val="left"/>
              <w:rPr/>
            </w:pPr>
            <w:r>
              <w:rPr/>
              <w:t> </w:t>
            </w:r>
          </w:p>
        </w:tc>
        <w:tc>
          <w:tcPr>
            <w:tcW w:w="1100" w:type="dxa"/>
            <w:tcBorders>
              <w:bottom w:val="single" w:sz="8" w:space="0" w:color="000000"/>
            </w:tcBorders>
            <w:shd w:fill="CCEEFF" w:val="clear"/>
            <w:vAlign w:val="center"/>
          </w:tcPr>
          <w:p>
            <w:pPr>
              <w:pStyle w:val="TableContents"/>
              <w:bidi w:val="0"/>
              <w:spacing w:before="0" w:after="283"/>
              <w:jc w:val="right"/>
              <w:rPr/>
            </w:pPr>
            <w:r>
              <w:rPr/>
              <w:t>—</w:t>
            </w:r>
          </w:p>
        </w:tc>
        <w:tc>
          <w:tcPr>
            <w:tcW w:w="9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bottom w:val="single" w:sz="8" w:space="0" w:color="000000"/>
            </w:tcBorders>
            <w:shd w:fill="CCEEFF" w:val="clear"/>
            <w:vAlign w:val="center"/>
          </w:tcPr>
          <w:p>
            <w:pPr>
              <w:pStyle w:val="TableContents"/>
              <w:bidi w:val="0"/>
              <w:spacing w:before="0" w:after="283"/>
              <w:jc w:val="left"/>
              <w:rPr/>
            </w:pPr>
            <w:r>
              <w:rPr/>
              <w:t> </w:t>
            </w:r>
          </w:p>
        </w:tc>
        <w:tc>
          <w:tcPr>
            <w:tcW w:w="1175" w:type="dxa"/>
            <w:tcBorders>
              <w:bottom w:val="single" w:sz="8" w:space="0" w:color="000000"/>
            </w:tcBorders>
            <w:shd w:fill="CCEEFF" w:val="clear"/>
            <w:vAlign w:val="center"/>
          </w:tcPr>
          <w:p>
            <w:pPr>
              <w:pStyle w:val="TableContents"/>
              <w:bidi w:val="0"/>
              <w:spacing w:before="0" w:after="283"/>
              <w:jc w:val="right"/>
              <w:rPr/>
            </w:pPr>
            <w:r>
              <w:rPr/>
              <w:t>—</w:t>
            </w:r>
          </w:p>
        </w:tc>
        <w:tc>
          <w:tcPr>
            <w:tcW w:w="9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bottom w:val="single" w:sz="8" w:space="0" w:color="000000"/>
            </w:tcBorders>
            <w:shd w:fill="CCEEFF" w:val="clear"/>
            <w:vAlign w:val="center"/>
          </w:tcPr>
          <w:p>
            <w:pPr>
              <w:pStyle w:val="TableContents"/>
              <w:bidi w:val="0"/>
              <w:spacing w:before="0" w:after="283"/>
              <w:jc w:val="left"/>
              <w:rPr/>
            </w:pPr>
            <w:r>
              <w:rPr/>
              <w:t> </w:t>
            </w:r>
          </w:p>
        </w:tc>
        <w:tc>
          <w:tcPr>
            <w:tcW w:w="1220" w:type="dxa"/>
            <w:tcBorders>
              <w:bottom w:val="single" w:sz="8" w:space="0" w:color="000000"/>
            </w:tcBorders>
            <w:shd w:fill="CCEEFF" w:val="clear"/>
            <w:vAlign w:val="center"/>
          </w:tcPr>
          <w:p>
            <w:pPr>
              <w:pStyle w:val="TableContents"/>
              <w:bidi w:val="0"/>
              <w:spacing w:before="0" w:after="283"/>
              <w:jc w:val="right"/>
              <w:rPr/>
            </w:pPr>
            <w:r>
              <w:rPr/>
              <w:t>—</w:t>
            </w:r>
          </w:p>
        </w:tc>
        <w:tc>
          <w:tcPr>
            <w:tcW w:w="110" w:type="dxa"/>
            <w:tcBorders/>
            <w:shd w:fill="CCEEFF" w:val="clear"/>
            <w:tcMar>
              <w:bottom w:w="0" w:type="dxa"/>
            </w:tcMar>
            <w:vAlign w:val="center"/>
          </w:tcPr>
          <w:p>
            <w:pPr>
              <w:pStyle w:val="TableContents"/>
              <w:bidi w:val="0"/>
              <w:spacing w:before="0" w:after="283"/>
              <w:jc w:val="left"/>
              <w:rPr/>
            </w:pPr>
            <w:r>
              <w:rPr/>
              <w:t> </w:t>
            </w:r>
          </w:p>
        </w:tc>
      </w:tr>
      <w:tr>
        <w:trPr/>
        <w:tc>
          <w:tcPr>
            <w:tcW w:w="4735" w:type="dxa"/>
            <w:tcBorders/>
            <w:shd w:fill="FFFFFF" w:val="clear"/>
            <w:tcMar>
              <w:bottom w:w="0" w:type="dxa"/>
            </w:tcMar>
            <w:vAlign w:val="center"/>
          </w:tcPr>
          <w:p>
            <w:pPr>
              <w:pStyle w:val="TableContents"/>
              <w:bidi w:val="0"/>
              <w:spacing w:before="0" w:after="283"/>
              <w:jc w:val="left"/>
              <w:rPr>
                <w:b/>
              </w:rPr>
            </w:pPr>
            <w:r>
              <w:rPr>
                <w:b/>
              </w:rPr>
              <w:t>(Loss)/Income before income tax expense</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100" w:type="dxa"/>
            <w:tcBorders/>
            <w:shd w:fill="FFFFFF" w:val="clear"/>
            <w:tcMar>
              <w:bottom w:w="0" w:type="dxa"/>
            </w:tcMar>
            <w:vAlign w:val="center"/>
          </w:tcPr>
          <w:p>
            <w:pPr>
              <w:pStyle w:val="TableContents"/>
              <w:bidi w:val="0"/>
              <w:spacing w:before="0" w:after="283"/>
              <w:jc w:val="right"/>
              <w:rPr>
                <w:b/>
              </w:rPr>
            </w:pPr>
            <w:r>
              <w:rPr>
                <w:b/>
              </w:rPr>
              <w:t>(7,302,611</w:t>
            </w:r>
          </w:p>
        </w:tc>
        <w:tc>
          <w:tcPr>
            <w:tcW w:w="95" w:type="dxa"/>
            <w:tcBorders/>
            <w:shd w:fill="FFFFFF" w:val="clear"/>
            <w:tcMar>
              <w:bottom w:w="0" w:type="dxa"/>
            </w:tcMar>
            <w:vAlign w:val="center"/>
          </w:tcPr>
          <w:p>
            <w:pPr>
              <w:pStyle w:val="TableContents"/>
              <w:bidi w:val="0"/>
              <w:spacing w:before="0" w:after="283"/>
              <w:jc w:val="left"/>
              <w:rPr>
                <w:b/>
              </w:rPr>
            </w:pPr>
            <w:r>
              <w:rPr>
                <w:b/>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100" w:type="dxa"/>
            <w:tcBorders/>
            <w:shd w:fill="FFFFFF" w:val="clear"/>
            <w:tcMar>
              <w:bottom w:w="0" w:type="dxa"/>
            </w:tcMar>
            <w:vAlign w:val="center"/>
          </w:tcPr>
          <w:p>
            <w:pPr>
              <w:pStyle w:val="TableContents"/>
              <w:bidi w:val="0"/>
              <w:spacing w:before="0" w:after="283"/>
              <w:jc w:val="right"/>
              <w:rPr>
                <w:b/>
              </w:rPr>
            </w:pPr>
            <w:r>
              <w:rPr>
                <w:b/>
              </w:rPr>
              <w:t>(98,933</w:t>
            </w:r>
          </w:p>
        </w:tc>
        <w:tc>
          <w:tcPr>
            <w:tcW w:w="95" w:type="dxa"/>
            <w:tcBorders/>
            <w:shd w:fill="FFFFFF" w:val="clear"/>
            <w:tcMar>
              <w:bottom w:w="0" w:type="dxa"/>
            </w:tcMar>
            <w:vAlign w:val="center"/>
          </w:tcPr>
          <w:p>
            <w:pPr>
              <w:pStyle w:val="TableContents"/>
              <w:bidi w:val="0"/>
              <w:spacing w:before="0" w:after="283"/>
              <w:jc w:val="left"/>
              <w:rPr>
                <w:b/>
              </w:rPr>
            </w:pPr>
            <w:r>
              <w:rPr>
                <w:b/>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175" w:type="dxa"/>
            <w:tcBorders/>
            <w:shd w:fill="FFFFFF" w:val="clear"/>
            <w:tcMar>
              <w:bottom w:w="0" w:type="dxa"/>
            </w:tcMar>
            <w:vAlign w:val="center"/>
          </w:tcPr>
          <w:p>
            <w:pPr>
              <w:pStyle w:val="TableContents"/>
              <w:bidi w:val="0"/>
              <w:spacing w:before="0" w:after="283"/>
              <w:jc w:val="right"/>
              <w:rPr>
                <w:b/>
              </w:rPr>
            </w:pPr>
            <w:r>
              <w:rPr>
                <w:b/>
              </w:rPr>
              <w:t>(22,996,950</w:t>
            </w:r>
          </w:p>
        </w:tc>
        <w:tc>
          <w:tcPr>
            <w:tcW w:w="95" w:type="dxa"/>
            <w:tcBorders/>
            <w:shd w:fill="FFFFFF" w:val="clear"/>
            <w:tcMar>
              <w:bottom w:w="0" w:type="dxa"/>
            </w:tcMar>
            <w:vAlign w:val="center"/>
          </w:tcPr>
          <w:p>
            <w:pPr>
              <w:pStyle w:val="TableContents"/>
              <w:bidi w:val="0"/>
              <w:spacing w:before="0" w:after="283"/>
              <w:jc w:val="left"/>
              <w:rPr>
                <w:b/>
              </w:rPr>
            </w:pPr>
            <w:r>
              <w:rPr>
                <w:b/>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220" w:type="dxa"/>
            <w:tcBorders/>
            <w:shd w:fill="FFFFFF" w:val="clear"/>
            <w:tcMar>
              <w:bottom w:w="0" w:type="dxa"/>
            </w:tcMar>
            <w:vAlign w:val="center"/>
          </w:tcPr>
          <w:p>
            <w:pPr>
              <w:pStyle w:val="TableContents"/>
              <w:bidi w:val="0"/>
              <w:spacing w:before="0" w:after="283"/>
              <w:jc w:val="right"/>
              <w:rPr>
                <w:b/>
              </w:rPr>
            </w:pPr>
            <w:r>
              <w:rPr>
                <w:b/>
              </w:rPr>
              <w:t>(73,077,284</w:t>
            </w:r>
          </w:p>
        </w:tc>
        <w:tc>
          <w:tcPr>
            <w:tcW w:w="110" w:type="dxa"/>
            <w:tcBorders/>
            <w:shd w:fill="FFFFFF" w:val="clear"/>
            <w:tcMar>
              <w:bottom w:w="0" w:type="dxa"/>
            </w:tcMar>
            <w:vAlign w:val="center"/>
          </w:tcPr>
          <w:p>
            <w:pPr>
              <w:pStyle w:val="TableContents"/>
              <w:bidi w:val="0"/>
              <w:spacing w:before="0" w:after="283"/>
              <w:jc w:val="left"/>
              <w:rPr>
                <w:b/>
              </w:rPr>
            </w:pPr>
            <w:r>
              <w:rPr>
                <w:b/>
              </w:rPr>
              <w:t>)</w:t>
            </w:r>
          </w:p>
        </w:tc>
      </w:tr>
      <w:tr>
        <w:trPr/>
        <w:tc>
          <w:tcPr>
            <w:tcW w:w="4735" w:type="dxa"/>
            <w:tcBorders/>
            <w:shd w:fill="CCEEFF" w:val="clear"/>
            <w:tcMar>
              <w:bottom w:w="0" w:type="dxa"/>
            </w:tcMar>
            <w:vAlign w:val="center"/>
          </w:tcPr>
          <w:p>
            <w:pPr>
              <w:pStyle w:val="TableContents"/>
              <w:bidi w:val="0"/>
              <w:spacing w:before="0" w:after="283"/>
              <w:jc w:val="left"/>
              <w:rPr/>
            </w:pPr>
            <w:r>
              <w:rPr/>
              <w:t>Less: income tax (benefit)/expense</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bottom w:val="single" w:sz="8" w:space="0" w:color="000000"/>
            </w:tcBorders>
            <w:shd w:fill="CCEEFF" w:val="clear"/>
            <w:vAlign w:val="center"/>
          </w:tcPr>
          <w:p>
            <w:pPr>
              <w:pStyle w:val="TableContents"/>
              <w:bidi w:val="0"/>
              <w:spacing w:before="0" w:after="283"/>
              <w:jc w:val="left"/>
              <w:rPr/>
            </w:pPr>
            <w:r>
              <w:rPr/>
              <w:t> </w:t>
            </w:r>
          </w:p>
        </w:tc>
        <w:tc>
          <w:tcPr>
            <w:tcW w:w="1100" w:type="dxa"/>
            <w:tcBorders>
              <w:bottom w:val="single" w:sz="8" w:space="0" w:color="000000"/>
            </w:tcBorders>
            <w:shd w:fill="CCEEFF" w:val="clear"/>
            <w:vAlign w:val="center"/>
          </w:tcPr>
          <w:p>
            <w:pPr>
              <w:pStyle w:val="TableContents"/>
              <w:bidi w:val="0"/>
              <w:spacing w:before="0" w:after="283"/>
              <w:jc w:val="right"/>
              <w:rPr/>
            </w:pPr>
            <w:r>
              <w:rPr/>
              <w:t>(46,966</w:t>
            </w:r>
          </w:p>
        </w:tc>
        <w:tc>
          <w:tcPr>
            <w:tcW w:w="95" w:type="dxa"/>
            <w:tcBorders/>
            <w:shd w:fill="CCEEFF" w:val="clear"/>
            <w:tcMar>
              <w:bottom w:w="0" w:type="dxa"/>
            </w:tcMar>
            <w:vAlign w:val="center"/>
          </w:tcPr>
          <w:p>
            <w:pPr>
              <w:pStyle w:val="TableContents"/>
              <w:bidi w:val="0"/>
              <w:spacing w:before="0" w:after="283"/>
              <w:jc w:val="lef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bottom w:val="single" w:sz="8" w:space="0" w:color="000000"/>
            </w:tcBorders>
            <w:shd w:fill="CCEEFF" w:val="clear"/>
            <w:vAlign w:val="center"/>
          </w:tcPr>
          <w:p>
            <w:pPr>
              <w:pStyle w:val="TableContents"/>
              <w:bidi w:val="0"/>
              <w:spacing w:before="0" w:after="283"/>
              <w:jc w:val="left"/>
              <w:rPr/>
            </w:pPr>
            <w:r>
              <w:rPr/>
              <w:t> </w:t>
            </w:r>
          </w:p>
        </w:tc>
        <w:tc>
          <w:tcPr>
            <w:tcW w:w="1100" w:type="dxa"/>
            <w:tcBorders>
              <w:bottom w:val="single" w:sz="8" w:space="0" w:color="000000"/>
            </w:tcBorders>
            <w:shd w:fill="CCEEFF" w:val="clear"/>
            <w:vAlign w:val="center"/>
          </w:tcPr>
          <w:p>
            <w:pPr>
              <w:pStyle w:val="TableContents"/>
              <w:bidi w:val="0"/>
              <w:spacing w:before="0" w:after="283"/>
              <w:jc w:val="right"/>
              <w:rPr/>
            </w:pPr>
            <w:r>
              <w:rPr/>
              <w:t>69,709</w:t>
            </w:r>
          </w:p>
        </w:tc>
        <w:tc>
          <w:tcPr>
            <w:tcW w:w="9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bottom w:val="single" w:sz="8" w:space="0" w:color="000000"/>
            </w:tcBorders>
            <w:shd w:fill="CCEEFF" w:val="clear"/>
            <w:vAlign w:val="center"/>
          </w:tcPr>
          <w:p>
            <w:pPr>
              <w:pStyle w:val="TableContents"/>
              <w:bidi w:val="0"/>
              <w:spacing w:before="0" w:after="283"/>
              <w:jc w:val="left"/>
              <w:rPr/>
            </w:pPr>
            <w:r>
              <w:rPr/>
              <w:t> </w:t>
            </w:r>
          </w:p>
        </w:tc>
        <w:tc>
          <w:tcPr>
            <w:tcW w:w="1175" w:type="dxa"/>
            <w:tcBorders>
              <w:bottom w:val="single" w:sz="8" w:space="0" w:color="000000"/>
            </w:tcBorders>
            <w:shd w:fill="CCEEFF" w:val="clear"/>
            <w:vAlign w:val="center"/>
          </w:tcPr>
          <w:p>
            <w:pPr>
              <w:pStyle w:val="TableContents"/>
              <w:bidi w:val="0"/>
              <w:spacing w:before="0" w:after="283"/>
              <w:jc w:val="right"/>
              <w:rPr/>
            </w:pPr>
            <w:r>
              <w:rPr/>
              <w:t>20,212</w:t>
            </w:r>
          </w:p>
        </w:tc>
        <w:tc>
          <w:tcPr>
            <w:tcW w:w="9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bottom w:val="single" w:sz="8" w:space="0" w:color="000000"/>
            </w:tcBorders>
            <w:shd w:fill="CCEEFF" w:val="clear"/>
            <w:vAlign w:val="center"/>
          </w:tcPr>
          <w:p>
            <w:pPr>
              <w:pStyle w:val="TableContents"/>
              <w:bidi w:val="0"/>
              <w:spacing w:before="0" w:after="283"/>
              <w:jc w:val="left"/>
              <w:rPr/>
            </w:pPr>
            <w:r>
              <w:rPr/>
              <w:t> </w:t>
            </w:r>
          </w:p>
        </w:tc>
        <w:tc>
          <w:tcPr>
            <w:tcW w:w="1220" w:type="dxa"/>
            <w:tcBorders>
              <w:bottom w:val="single" w:sz="8" w:space="0" w:color="000000"/>
            </w:tcBorders>
            <w:shd w:fill="CCEEFF" w:val="clear"/>
            <w:vAlign w:val="center"/>
          </w:tcPr>
          <w:p>
            <w:pPr>
              <w:pStyle w:val="TableContents"/>
              <w:bidi w:val="0"/>
              <w:spacing w:before="0" w:after="283"/>
              <w:jc w:val="right"/>
              <w:rPr/>
            </w:pPr>
            <w:r>
              <w:rPr/>
              <w:t>(13,973</w:t>
            </w:r>
          </w:p>
        </w:tc>
        <w:tc>
          <w:tcPr>
            <w:tcW w:w="110" w:type="dxa"/>
            <w:tcBorders/>
            <w:shd w:fill="CCEEFF" w:val="clear"/>
            <w:tcMar>
              <w:bottom w:w="0" w:type="dxa"/>
            </w:tcMar>
            <w:vAlign w:val="center"/>
          </w:tcPr>
          <w:p>
            <w:pPr>
              <w:pStyle w:val="TableContents"/>
              <w:bidi w:val="0"/>
              <w:spacing w:before="0" w:after="283"/>
              <w:jc w:val="left"/>
              <w:rPr/>
            </w:pPr>
            <w:r>
              <w:rPr/>
              <w:t>)</w:t>
            </w:r>
          </w:p>
        </w:tc>
      </w:tr>
      <w:tr>
        <w:trPr/>
        <w:tc>
          <w:tcPr>
            <w:tcW w:w="4735" w:type="dxa"/>
            <w:tcBorders/>
            <w:shd w:fill="FFFFFF" w:val="clear"/>
            <w:tcMar>
              <w:bottom w:w="0" w:type="dxa"/>
            </w:tcMar>
            <w:vAlign w:val="center"/>
          </w:tcPr>
          <w:p>
            <w:pPr>
              <w:pStyle w:val="TableContents"/>
              <w:bidi w:val="0"/>
              <w:spacing w:before="0" w:after="283"/>
              <w:jc w:val="left"/>
              <w:rPr>
                <w:b/>
              </w:rPr>
            </w:pPr>
            <w:r>
              <w:rPr>
                <w:b/>
              </w:rPr>
              <w:t>Net (loss)/income before non-controlling interest</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100" w:type="dxa"/>
            <w:tcBorders/>
            <w:shd w:fill="FFFFFF" w:val="clear"/>
            <w:tcMar>
              <w:bottom w:w="0" w:type="dxa"/>
            </w:tcMar>
            <w:vAlign w:val="center"/>
          </w:tcPr>
          <w:p>
            <w:pPr>
              <w:pStyle w:val="TableContents"/>
              <w:bidi w:val="0"/>
              <w:spacing w:before="0" w:after="283"/>
              <w:jc w:val="right"/>
              <w:rPr>
                <w:b/>
              </w:rPr>
            </w:pPr>
            <w:r>
              <w:rPr>
                <w:b/>
              </w:rPr>
              <w:t>(7,255,645</w:t>
            </w:r>
          </w:p>
        </w:tc>
        <w:tc>
          <w:tcPr>
            <w:tcW w:w="95" w:type="dxa"/>
            <w:tcBorders/>
            <w:shd w:fill="FFFFFF" w:val="clear"/>
            <w:tcMar>
              <w:bottom w:w="0" w:type="dxa"/>
            </w:tcMar>
            <w:vAlign w:val="center"/>
          </w:tcPr>
          <w:p>
            <w:pPr>
              <w:pStyle w:val="TableContents"/>
              <w:bidi w:val="0"/>
              <w:spacing w:before="0" w:after="283"/>
              <w:jc w:val="left"/>
              <w:rPr>
                <w:b/>
              </w:rPr>
            </w:pPr>
            <w:r>
              <w:rPr>
                <w:b/>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100" w:type="dxa"/>
            <w:tcBorders/>
            <w:shd w:fill="FFFFFF" w:val="clear"/>
            <w:tcMar>
              <w:bottom w:w="0" w:type="dxa"/>
            </w:tcMar>
            <w:vAlign w:val="center"/>
          </w:tcPr>
          <w:p>
            <w:pPr>
              <w:pStyle w:val="TableContents"/>
              <w:bidi w:val="0"/>
              <w:spacing w:before="0" w:after="283"/>
              <w:jc w:val="right"/>
              <w:rPr>
                <w:b/>
              </w:rPr>
            </w:pPr>
            <w:r>
              <w:rPr>
                <w:b/>
              </w:rPr>
              <w:t>(168,642</w:t>
            </w:r>
          </w:p>
        </w:tc>
        <w:tc>
          <w:tcPr>
            <w:tcW w:w="95" w:type="dxa"/>
            <w:tcBorders/>
            <w:shd w:fill="FFFFFF" w:val="clear"/>
            <w:tcMar>
              <w:bottom w:w="0" w:type="dxa"/>
            </w:tcMar>
            <w:vAlign w:val="center"/>
          </w:tcPr>
          <w:p>
            <w:pPr>
              <w:pStyle w:val="TableContents"/>
              <w:bidi w:val="0"/>
              <w:spacing w:before="0" w:after="283"/>
              <w:jc w:val="left"/>
              <w:rPr>
                <w:b/>
              </w:rPr>
            </w:pPr>
            <w:r>
              <w:rPr>
                <w:b/>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175" w:type="dxa"/>
            <w:tcBorders/>
            <w:shd w:fill="FFFFFF" w:val="clear"/>
            <w:tcMar>
              <w:bottom w:w="0" w:type="dxa"/>
            </w:tcMar>
            <w:vAlign w:val="center"/>
          </w:tcPr>
          <w:p>
            <w:pPr>
              <w:pStyle w:val="TableContents"/>
              <w:bidi w:val="0"/>
              <w:spacing w:before="0" w:after="283"/>
              <w:jc w:val="right"/>
              <w:rPr>
                <w:b/>
              </w:rPr>
            </w:pPr>
            <w:r>
              <w:rPr>
                <w:b/>
              </w:rPr>
              <w:t>(23,017,162</w:t>
            </w:r>
          </w:p>
        </w:tc>
        <w:tc>
          <w:tcPr>
            <w:tcW w:w="95" w:type="dxa"/>
            <w:tcBorders/>
            <w:shd w:fill="FFFFFF" w:val="clear"/>
            <w:tcMar>
              <w:bottom w:w="0" w:type="dxa"/>
            </w:tcMar>
            <w:vAlign w:val="center"/>
          </w:tcPr>
          <w:p>
            <w:pPr>
              <w:pStyle w:val="TableContents"/>
              <w:bidi w:val="0"/>
              <w:spacing w:before="0" w:after="283"/>
              <w:jc w:val="left"/>
              <w:rPr>
                <w:b/>
              </w:rPr>
            </w:pPr>
            <w:r>
              <w:rPr>
                <w:b/>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220" w:type="dxa"/>
            <w:tcBorders/>
            <w:shd w:fill="FFFFFF" w:val="clear"/>
            <w:tcMar>
              <w:bottom w:w="0" w:type="dxa"/>
            </w:tcMar>
            <w:vAlign w:val="center"/>
          </w:tcPr>
          <w:p>
            <w:pPr>
              <w:pStyle w:val="TableContents"/>
              <w:bidi w:val="0"/>
              <w:spacing w:before="0" w:after="283"/>
              <w:jc w:val="right"/>
              <w:rPr>
                <w:b/>
              </w:rPr>
            </w:pPr>
            <w:r>
              <w:rPr>
                <w:b/>
              </w:rPr>
              <w:t>(73,063,311</w:t>
            </w:r>
          </w:p>
        </w:tc>
        <w:tc>
          <w:tcPr>
            <w:tcW w:w="110" w:type="dxa"/>
            <w:tcBorders/>
            <w:shd w:fill="FFFFFF" w:val="clear"/>
            <w:tcMar>
              <w:bottom w:w="0" w:type="dxa"/>
            </w:tcMar>
            <w:vAlign w:val="center"/>
          </w:tcPr>
          <w:p>
            <w:pPr>
              <w:pStyle w:val="TableContents"/>
              <w:bidi w:val="0"/>
              <w:spacing w:before="0" w:after="283"/>
              <w:jc w:val="left"/>
              <w:rPr>
                <w:b/>
              </w:rPr>
            </w:pPr>
            <w:r>
              <w:rPr>
                <w:b/>
              </w:rPr>
              <w:t>)</w:t>
            </w:r>
          </w:p>
        </w:tc>
      </w:tr>
      <w:tr>
        <w:trPr/>
        <w:tc>
          <w:tcPr>
            <w:tcW w:w="4735" w:type="dxa"/>
            <w:tcBorders/>
            <w:shd w:fill="CCEEFF" w:val="clear"/>
            <w:tcMar>
              <w:bottom w:w="0" w:type="dxa"/>
            </w:tcMar>
            <w:vAlign w:val="center"/>
          </w:tcPr>
          <w:p>
            <w:pPr>
              <w:pStyle w:val="TableContents"/>
              <w:bidi w:val="0"/>
              <w:spacing w:before="0" w:after="283"/>
              <w:jc w:val="left"/>
              <w:rPr/>
            </w:pPr>
            <w:r>
              <w:rPr/>
              <w:t>Net loss attributable to non-controlling interest, net of tax</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bottom w:val="single" w:sz="8" w:space="0" w:color="000000"/>
            </w:tcBorders>
            <w:shd w:fill="CCEEFF" w:val="clear"/>
            <w:vAlign w:val="center"/>
          </w:tcPr>
          <w:p>
            <w:pPr>
              <w:pStyle w:val="TableContents"/>
              <w:bidi w:val="0"/>
              <w:spacing w:before="0" w:after="283"/>
              <w:jc w:val="left"/>
              <w:rPr/>
            </w:pPr>
            <w:r>
              <w:rPr/>
              <w:t> </w:t>
            </w:r>
          </w:p>
        </w:tc>
        <w:tc>
          <w:tcPr>
            <w:tcW w:w="1100" w:type="dxa"/>
            <w:tcBorders>
              <w:bottom w:val="single" w:sz="8" w:space="0" w:color="000000"/>
            </w:tcBorders>
            <w:shd w:fill="CCEEFF" w:val="clear"/>
            <w:vAlign w:val="center"/>
          </w:tcPr>
          <w:p>
            <w:pPr>
              <w:pStyle w:val="TableContents"/>
              <w:bidi w:val="0"/>
              <w:spacing w:before="0" w:after="283"/>
              <w:jc w:val="right"/>
              <w:rPr/>
            </w:pPr>
            <w:r>
              <w:rPr/>
              <w:t>(1,733</w:t>
            </w:r>
          </w:p>
        </w:tc>
        <w:tc>
          <w:tcPr>
            <w:tcW w:w="95" w:type="dxa"/>
            <w:tcBorders/>
            <w:shd w:fill="CCEEFF" w:val="clear"/>
            <w:tcMar>
              <w:bottom w:w="0" w:type="dxa"/>
            </w:tcMar>
            <w:vAlign w:val="center"/>
          </w:tcPr>
          <w:p>
            <w:pPr>
              <w:pStyle w:val="TableContents"/>
              <w:bidi w:val="0"/>
              <w:spacing w:before="0" w:after="283"/>
              <w:jc w:val="lef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bottom w:val="single" w:sz="8" w:space="0" w:color="000000"/>
            </w:tcBorders>
            <w:shd w:fill="CCEEFF" w:val="clear"/>
            <w:vAlign w:val="center"/>
          </w:tcPr>
          <w:p>
            <w:pPr>
              <w:pStyle w:val="TableContents"/>
              <w:bidi w:val="0"/>
              <w:spacing w:before="0" w:after="283"/>
              <w:jc w:val="left"/>
              <w:rPr/>
            </w:pPr>
            <w:r>
              <w:rPr/>
              <w:t> </w:t>
            </w:r>
          </w:p>
        </w:tc>
        <w:tc>
          <w:tcPr>
            <w:tcW w:w="1100" w:type="dxa"/>
            <w:tcBorders>
              <w:bottom w:val="single" w:sz="8" w:space="0" w:color="000000"/>
            </w:tcBorders>
            <w:shd w:fill="CCEEFF" w:val="clear"/>
            <w:vAlign w:val="center"/>
          </w:tcPr>
          <w:p>
            <w:pPr>
              <w:pStyle w:val="TableContents"/>
              <w:bidi w:val="0"/>
              <w:spacing w:before="0" w:after="283"/>
              <w:jc w:val="right"/>
              <w:rPr/>
            </w:pPr>
            <w:r>
              <w:rPr/>
              <w:t>(61,675</w:t>
            </w:r>
          </w:p>
        </w:tc>
        <w:tc>
          <w:tcPr>
            <w:tcW w:w="95" w:type="dxa"/>
            <w:tcBorders/>
            <w:shd w:fill="CCEEFF" w:val="clear"/>
            <w:tcMar>
              <w:bottom w:w="0" w:type="dxa"/>
            </w:tcMar>
            <w:vAlign w:val="center"/>
          </w:tcPr>
          <w:p>
            <w:pPr>
              <w:pStyle w:val="TableContents"/>
              <w:bidi w:val="0"/>
              <w:spacing w:before="0" w:after="283"/>
              <w:jc w:val="lef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bottom w:val="single" w:sz="8" w:space="0" w:color="000000"/>
            </w:tcBorders>
            <w:shd w:fill="CCEEFF" w:val="clear"/>
            <w:vAlign w:val="center"/>
          </w:tcPr>
          <w:p>
            <w:pPr>
              <w:pStyle w:val="TableContents"/>
              <w:bidi w:val="0"/>
              <w:spacing w:before="0" w:after="283"/>
              <w:jc w:val="left"/>
              <w:rPr/>
            </w:pPr>
            <w:r>
              <w:rPr/>
              <w:t> </w:t>
            </w:r>
          </w:p>
        </w:tc>
        <w:tc>
          <w:tcPr>
            <w:tcW w:w="1175" w:type="dxa"/>
            <w:tcBorders>
              <w:bottom w:val="single" w:sz="8" w:space="0" w:color="000000"/>
            </w:tcBorders>
            <w:shd w:fill="CCEEFF" w:val="clear"/>
            <w:vAlign w:val="center"/>
          </w:tcPr>
          <w:p>
            <w:pPr>
              <w:pStyle w:val="TableContents"/>
              <w:bidi w:val="0"/>
              <w:spacing w:before="0" w:after="283"/>
              <w:jc w:val="right"/>
              <w:rPr/>
            </w:pPr>
            <w:r>
              <w:rPr/>
              <w:t>(500,940</w:t>
            </w:r>
          </w:p>
        </w:tc>
        <w:tc>
          <w:tcPr>
            <w:tcW w:w="95" w:type="dxa"/>
            <w:tcBorders/>
            <w:shd w:fill="CCEEFF" w:val="clear"/>
            <w:tcMar>
              <w:bottom w:w="0" w:type="dxa"/>
            </w:tcMar>
            <w:vAlign w:val="center"/>
          </w:tcPr>
          <w:p>
            <w:pPr>
              <w:pStyle w:val="TableContents"/>
              <w:bidi w:val="0"/>
              <w:spacing w:before="0" w:after="283"/>
              <w:jc w:val="lef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bottom w:val="single" w:sz="8" w:space="0" w:color="000000"/>
            </w:tcBorders>
            <w:shd w:fill="CCEEFF" w:val="clear"/>
            <w:vAlign w:val="center"/>
          </w:tcPr>
          <w:p>
            <w:pPr>
              <w:pStyle w:val="TableContents"/>
              <w:bidi w:val="0"/>
              <w:spacing w:before="0" w:after="283"/>
              <w:jc w:val="left"/>
              <w:rPr/>
            </w:pPr>
            <w:r>
              <w:rPr/>
              <w:t> </w:t>
            </w:r>
          </w:p>
        </w:tc>
        <w:tc>
          <w:tcPr>
            <w:tcW w:w="1220" w:type="dxa"/>
            <w:tcBorders>
              <w:bottom w:val="single" w:sz="8" w:space="0" w:color="000000"/>
            </w:tcBorders>
            <w:shd w:fill="CCEEFF" w:val="clear"/>
            <w:vAlign w:val="center"/>
          </w:tcPr>
          <w:p>
            <w:pPr>
              <w:pStyle w:val="TableContents"/>
              <w:bidi w:val="0"/>
              <w:spacing w:before="0" w:after="283"/>
              <w:jc w:val="right"/>
              <w:rPr/>
            </w:pPr>
            <w:r>
              <w:rPr/>
              <w:t>(192,879</w:t>
            </w:r>
          </w:p>
        </w:tc>
        <w:tc>
          <w:tcPr>
            <w:tcW w:w="110" w:type="dxa"/>
            <w:tcBorders/>
            <w:shd w:fill="CCEEFF" w:val="clear"/>
            <w:tcMar>
              <w:bottom w:w="0" w:type="dxa"/>
            </w:tcMar>
            <w:vAlign w:val="center"/>
          </w:tcPr>
          <w:p>
            <w:pPr>
              <w:pStyle w:val="TableContents"/>
              <w:bidi w:val="0"/>
              <w:spacing w:before="0" w:after="283"/>
              <w:jc w:val="left"/>
              <w:rPr/>
            </w:pPr>
            <w:r>
              <w:rPr/>
              <w:t>)</w:t>
            </w:r>
          </w:p>
        </w:tc>
      </w:tr>
      <w:tr>
        <w:trPr/>
        <w:tc>
          <w:tcPr>
            <w:tcW w:w="4735" w:type="dxa"/>
            <w:tcBorders/>
            <w:shd w:fill="FFFFFF" w:val="clear"/>
            <w:tcMar>
              <w:bottom w:w="0" w:type="dxa"/>
            </w:tcMar>
            <w:vAlign w:val="center"/>
          </w:tcPr>
          <w:p>
            <w:pPr>
              <w:pStyle w:val="TableContents"/>
              <w:bidi w:val="0"/>
              <w:spacing w:before="0" w:after="283"/>
              <w:jc w:val="left"/>
              <w:rPr>
                <w:b/>
              </w:rPr>
            </w:pPr>
            <w:r>
              <w:rPr>
                <w:b/>
              </w:rPr>
              <w:t>Net Loss attributable to Ordinary shareholders</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bottom w:val="double" w:sz="6" w:space="0" w:color="000000"/>
            </w:tcBorders>
            <w:shd w:fill="FFFFFF" w:val="clear"/>
            <w:vAlign w:val="center"/>
          </w:tcPr>
          <w:p>
            <w:pPr>
              <w:pStyle w:val="TableContents"/>
              <w:bidi w:val="0"/>
              <w:spacing w:before="0" w:after="283"/>
              <w:jc w:val="left"/>
              <w:rPr/>
            </w:pPr>
            <w:r>
              <w:rPr/>
              <w:t> </w:t>
            </w:r>
          </w:p>
        </w:tc>
        <w:tc>
          <w:tcPr>
            <w:tcW w:w="1100" w:type="dxa"/>
            <w:tcBorders>
              <w:bottom w:val="double" w:sz="6" w:space="0" w:color="000000"/>
            </w:tcBorders>
            <w:shd w:fill="FFFFFF" w:val="clear"/>
            <w:vAlign w:val="center"/>
          </w:tcPr>
          <w:p>
            <w:pPr>
              <w:pStyle w:val="TableContents"/>
              <w:bidi w:val="0"/>
              <w:spacing w:before="0" w:after="283"/>
              <w:jc w:val="right"/>
              <w:rPr>
                <w:b/>
              </w:rPr>
            </w:pPr>
            <w:r>
              <w:rPr>
                <w:b/>
              </w:rPr>
              <w:t>(7,253,912</w:t>
            </w:r>
          </w:p>
        </w:tc>
        <w:tc>
          <w:tcPr>
            <w:tcW w:w="95" w:type="dxa"/>
            <w:tcBorders/>
            <w:shd w:fill="FFFFFF" w:val="clear"/>
            <w:tcMar>
              <w:bottom w:w="0" w:type="dxa"/>
            </w:tcMar>
            <w:vAlign w:val="center"/>
          </w:tcPr>
          <w:p>
            <w:pPr>
              <w:pStyle w:val="TableContents"/>
              <w:bidi w:val="0"/>
              <w:spacing w:before="0" w:after="283"/>
              <w:jc w:val="left"/>
              <w:rPr>
                <w:b/>
              </w:rPr>
            </w:pPr>
            <w:r>
              <w:rPr>
                <w:b/>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bottom w:val="double" w:sz="6" w:space="0" w:color="000000"/>
            </w:tcBorders>
            <w:shd w:fill="FFFFFF" w:val="clear"/>
            <w:vAlign w:val="center"/>
          </w:tcPr>
          <w:p>
            <w:pPr>
              <w:pStyle w:val="TableContents"/>
              <w:bidi w:val="0"/>
              <w:spacing w:before="0" w:after="283"/>
              <w:jc w:val="left"/>
              <w:rPr/>
            </w:pPr>
            <w:r>
              <w:rPr/>
              <w:t> </w:t>
            </w:r>
          </w:p>
        </w:tc>
        <w:tc>
          <w:tcPr>
            <w:tcW w:w="1100" w:type="dxa"/>
            <w:tcBorders>
              <w:bottom w:val="double" w:sz="6" w:space="0" w:color="000000"/>
            </w:tcBorders>
            <w:shd w:fill="FFFFFF" w:val="clear"/>
            <w:vAlign w:val="center"/>
          </w:tcPr>
          <w:p>
            <w:pPr>
              <w:pStyle w:val="TableContents"/>
              <w:bidi w:val="0"/>
              <w:spacing w:before="0" w:after="283"/>
              <w:jc w:val="right"/>
              <w:rPr>
                <w:b/>
              </w:rPr>
            </w:pPr>
            <w:r>
              <w:rPr>
                <w:b/>
              </w:rPr>
              <w:t>(106,967</w:t>
            </w:r>
          </w:p>
        </w:tc>
        <w:tc>
          <w:tcPr>
            <w:tcW w:w="95" w:type="dxa"/>
            <w:tcBorders/>
            <w:shd w:fill="FFFFFF" w:val="clear"/>
            <w:tcMar>
              <w:bottom w:w="0" w:type="dxa"/>
            </w:tcMar>
            <w:vAlign w:val="center"/>
          </w:tcPr>
          <w:p>
            <w:pPr>
              <w:pStyle w:val="TableContents"/>
              <w:bidi w:val="0"/>
              <w:spacing w:before="0" w:after="283"/>
              <w:jc w:val="left"/>
              <w:rPr>
                <w:b/>
              </w:rPr>
            </w:pPr>
            <w:r>
              <w:rPr>
                <w:b/>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bottom w:val="double" w:sz="6" w:space="0" w:color="000000"/>
            </w:tcBorders>
            <w:shd w:fill="FFFFFF" w:val="clear"/>
            <w:vAlign w:val="center"/>
          </w:tcPr>
          <w:p>
            <w:pPr>
              <w:pStyle w:val="TableContents"/>
              <w:bidi w:val="0"/>
              <w:spacing w:before="0" w:after="283"/>
              <w:jc w:val="left"/>
              <w:rPr/>
            </w:pPr>
            <w:r>
              <w:rPr/>
              <w:t> </w:t>
            </w:r>
          </w:p>
        </w:tc>
        <w:tc>
          <w:tcPr>
            <w:tcW w:w="1175" w:type="dxa"/>
            <w:tcBorders>
              <w:bottom w:val="double" w:sz="6" w:space="0" w:color="000000"/>
            </w:tcBorders>
            <w:shd w:fill="FFFFFF" w:val="clear"/>
            <w:vAlign w:val="center"/>
          </w:tcPr>
          <w:p>
            <w:pPr>
              <w:pStyle w:val="TableContents"/>
              <w:bidi w:val="0"/>
              <w:spacing w:before="0" w:after="283"/>
              <w:jc w:val="right"/>
              <w:rPr>
                <w:b/>
              </w:rPr>
            </w:pPr>
            <w:r>
              <w:rPr>
                <w:b/>
              </w:rPr>
              <w:t>(22,516,222</w:t>
            </w:r>
          </w:p>
        </w:tc>
        <w:tc>
          <w:tcPr>
            <w:tcW w:w="95" w:type="dxa"/>
            <w:tcBorders/>
            <w:shd w:fill="FFFFFF" w:val="clear"/>
            <w:tcMar>
              <w:bottom w:w="0" w:type="dxa"/>
            </w:tcMar>
            <w:vAlign w:val="center"/>
          </w:tcPr>
          <w:p>
            <w:pPr>
              <w:pStyle w:val="TableContents"/>
              <w:bidi w:val="0"/>
              <w:spacing w:before="0" w:after="283"/>
              <w:jc w:val="left"/>
              <w:rPr>
                <w:b/>
              </w:rPr>
            </w:pPr>
            <w:r>
              <w:rPr>
                <w:b/>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bottom w:val="double" w:sz="6" w:space="0" w:color="000000"/>
            </w:tcBorders>
            <w:shd w:fill="FFFFFF" w:val="clear"/>
            <w:vAlign w:val="center"/>
          </w:tcPr>
          <w:p>
            <w:pPr>
              <w:pStyle w:val="TableContents"/>
              <w:bidi w:val="0"/>
              <w:spacing w:before="0" w:after="283"/>
              <w:jc w:val="left"/>
              <w:rPr/>
            </w:pPr>
            <w:r>
              <w:rPr/>
              <w:t> </w:t>
            </w:r>
          </w:p>
        </w:tc>
        <w:tc>
          <w:tcPr>
            <w:tcW w:w="1220" w:type="dxa"/>
            <w:tcBorders>
              <w:bottom w:val="double" w:sz="6" w:space="0" w:color="000000"/>
            </w:tcBorders>
            <w:shd w:fill="FFFFFF" w:val="clear"/>
            <w:vAlign w:val="center"/>
          </w:tcPr>
          <w:p>
            <w:pPr>
              <w:pStyle w:val="TableContents"/>
              <w:bidi w:val="0"/>
              <w:spacing w:before="0" w:after="283"/>
              <w:jc w:val="right"/>
              <w:rPr>
                <w:b/>
              </w:rPr>
            </w:pPr>
            <w:r>
              <w:rPr>
                <w:b/>
              </w:rPr>
              <w:t>(72,870,432</w:t>
            </w:r>
          </w:p>
        </w:tc>
        <w:tc>
          <w:tcPr>
            <w:tcW w:w="110" w:type="dxa"/>
            <w:tcBorders/>
            <w:shd w:fill="FFFFFF" w:val="clear"/>
            <w:tcMar>
              <w:bottom w:w="0" w:type="dxa"/>
            </w:tcMar>
            <w:vAlign w:val="center"/>
          </w:tcPr>
          <w:p>
            <w:pPr>
              <w:pStyle w:val="TableContents"/>
              <w:bidi w:val="0"/>
              <w:spacing w:before="0" w:after="283"/>
              <w:jc w:val="left"/>
              <w:rPr>
                <w:b/>
              </w:rPr>
            </w:pPr>
            <w:r>
              <w:rPr>
                <w:b/>
              </w:rPr>
              <w:t>)</w:t>
            </w:r>
          </w:p>
        </w:tc>
      </w:tr>
      <w:tr>
        <w:trPr/>
        <w:tc>
          <w:tcPr>
            <w:tcW w:w="4735" w:type="dxa"/>
            <w:tcBorders/>
            <w:shd w:fill="CCEEFF" w:val="clear"/>
            <w:tcMar>
              <w:bottom w:w="0" w:type="dxa"/>
            </w:tcMar>
            <w:vAlign w:val="center"/>
          </w:tcPr>
          <w:p>
            <w:pPr>
              <w:pStyle w:val="TableContents"/>
              <w:bidi w:val="0"/>
              <w:spacing w:before="0" w:after="283"/>
              <w:jc w:val="left"/>
              <w:rPr>
                <w:b/>
              </w:rPr>
            </w:pPr>
            <w:r>
              <w:rPr>
                <w:b/>
              </w:rPr>
              <w:t>Net loss per share attributable to Ordinary shareholders</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100" w:type="dxa"/>
            <w:tcBorders/>
            <w:shd w:fill="CCEEFF" w:val="clear"/>
            <w:tcMar>
              <w:bottom w:w="0" w:type="dxa"/>
            </w:tcMar>
            <w:vAlign w:val="center"/>
          </w:tcPr>
          <w:p>
            <w:pPr>
              <w:pStyle w:val="TableContents"/>
              <w:bidi w:val="0"/>
              <w:spacing w:before="0" w:after="283"/>
              <w:jc w:val="right"/>
              <w:rPr/>
            </w:pPr>
            <w:r>
              <w:rPr/>
              <w:t> </w:t>
            </w:r>
          </w:p>
        </w:tc>
        <w:tc>
          <w:tcPr>
            <w:tcW w:w="9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100" w:type="dxa"/>
            <w:tcBorders/>
            <w:shd w:fill="CCEEFF" w:val="clear"/>
            <w:tcMar>
              <w:bottom w:w="0" w:type="dxa"/>
            </w:tcMar>
            <w:vAlign w:val="center"/>
          </w:tcPr>
          <w:p>
            <w:pPr>
              <w:pStyle w:val="TableContents"/>
              <w:bidi w:val="0"/>
              <w:spacing w:before="0" w:after="283"/>
              <w:jc w:val="right"/>
              <w:rPr/>
            </w:pPr>
            <w:r>
              <w:rPr/>
              <w:t> </w:t>
            </w:r>
          </w:p>
        </w:tc>
        <w:tc>
          <w:tcPr>
            <w:tcW w:w="9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175" w:type="dxa"/>
            <w:tcBorders/>
            <w:shd w:fill="CCEEFF" w:val="clear"/>
            <w:tcMar>
              <w:bottom w:w="0" w:type="dxa"/>
            </w:tcMar>
            <w:vAlign w:val="center"/>
          </w:tcPr>
          <w:p>
            <w:pPr>
              <w:pStyle w:val="TableContents"/>
              <w:bidi w:val="0"/>
              <w:spacing w:before="0" w:after="283"/>
              <w:jc w:val="right"/>
              <w:rPr/>
            </w:pPr>
            <w:r>
              <w:rPr/>
              <w:t> </w:t>
            </w:r>
          </w:p>
        </w:tc>
        <w:tc>
          <w:tcPr>
            <w:tcW w:w="9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220" w:type="dxa"/>
            <w:tcBorders/>
            <w:shd w:fill="CCEEFF" w:val="clear"/>
            <w:tcMar>
              <w:bottom w:w="0" w:type="dxa"/>
            </w:tcMar>
            <w:vAlign w:val="center"/>
          </w:tcPr>
          <w:p>
            <w:pPr>
              <w:pStyle w:val="TableContents"/>
              <w:bidi w:val="0"/>
              <w:spacing w:before="0" w:after="283"/>
              <w:jc w:val="right"/>
              <w:rPr/>
            </w:pPr>
            <w:r>
              <w:rPr/>
              <w:t> </w:t>
            </w:r>
          </w:p>
        </w:tc>
        <w:tc>
          <w:tcPr>
            <w:tcW w:w="110" w:type="dxa"/>
            <w:tcBorders/>
            <w:shd w:fill="CCEEFF" w:val="clear"/>
            <w:tcMar>
              <w:bottom w:w="0" w:type="dxa"/>
            </w:tcMar>
            <w:vAlign w:val="center"/>
          </w:tcPr>
          <w:p>
            <w:pPr>
              <w:pStyle w:val="TableContents"/>
              <w:bidi w:val="0"/>
              <w:spacing w:before="0" w:after="283"/>
              <w:jc w:val="left"/>
              <w:rPr/>
            </w:pPr>
            <w:r>
              <w:rPr/>
              <w:t> </w:t>
            </w:r>
          </w:p>
        </w:tc>
      </w:tr>
      <w:tr>
        <w:trPr/>
        <w:tc>
          <w:tcPr>
            <w:tcW w:w="4735" w:type="dxa"/>
            <w:tcBorders/>
            <w:shd w:fill="FFFFFF" w:val="clear"/>
            <w:tcMar>
              <w:bottom w:w="0" w:type="dxa"/>
            </w:tcMar>
            <w:vAlign w:val="center"/>
          </w:tcPr>
          <w:p>
            <w:pPr>
              <w:pStyle w:val="TableContents"/>
              <w:bidi w:val="0"/>
              <w:spacing w:before="0" w:after="283"/>
              <w:jc w:val="left"/>
              <w:rPr/>
            </w:pPr>
            <w:r>
              <w:rPr/>
              <w:t>Basic and diluted</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100" w:type="dxa"/>
            <w:tcBorders/>
            <w:shd w:fill="FFFFFF" w:val="clear"/>
            <w:tcMar>
              <w:bottom w:w="0" w:type="dxa"/>
            </w:tcMar>
            <w:vAlign w:val="center"/>
          </w:tcPr>
          <w:p>
            <w:pPr>
              <w:pStyle w:val="TableContents"/>
              <w:bidi w:val="0"/>
              <w:spacing w:before="0" w:after="283"/>
              <w:jc w:val="right"/>
              <w:rPr/>
            </w:pPr>
            <w:r>
              <w:rPr/>
              <w:t>(0.09</w:t>
            </w:r>
          </w:p>
        </w:tc>
        <w:tc>
          <w:tcPr>
            <w:tcW w:w="95" w:type="dxa"/>
            <w:tcBorders/>
            <w:shd w:fill="FFFFFF" w:val="clear"/>
            <w:tcMar>
              <w:bottom w:w="0" w:type="dxa"/>
            </w:tcMar>
            <w:vAlign w:val="center"/>
          </w:tcPr>
          <w:p>
            <w:pPr>
              <w:pStyle w:val="TableContents"/>
              <w:bidi w:val="0"/>
              <w:spacing w:before="0" w:after="283"/>
              <w:jc w:val="left"/>
              <w:rPr/>
            </w:pPr>
            <w:r>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100" w:type="dxa"/>
            <w:tcBorders/>
            <w:shd w:fill="FFFFFF" w:val="clear"/>
            <w:tcMar>
              <w:bottom w:w="0" w:type="dxa"/>
            </w:tcMar>
            <w:vAlign w:val="center"/>
          </w:tcPr>
          <w:p>
            <w:pPr>
              <w:pStyle w:val="TableContents"/>
              <w:bidi w:val="0"/>
              <w:spacing w:before="0" w:after="283"/>
              <w:jc w:val="right"/>
              <w:rPr/>
            </w:pPr>
            <w:r>
              <w:rPr/>
              <w:t>(0.00</w:t>
            </w:r>
          </w:p>
        </w:tc>
        <w:tc>
          <w:tcPr>
            <w:tcW w:w="95" w:type="dxa"/>
            <w:tcBorders/>
            <w:shd w:fill="FFFFFF" w:val="clear"/>
            <w:tcMar>
              <w:bottom w:w="0" w:type="dxa"/>
            </w:tcMar>
            <w:vAlign w:val="center"/>
          </w:tcPr>
          <w:p>
            <w:pPr>
              <w:pStyle w:val="TableContents"/>
              <w:bidi w:val="0"/>
              <w:spacing w:before="0" w:after="283"/>
              <w:jc w:val="left"/>
              <w:rPr/>
            </w:pPr>
            <w:r>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175" w:type="dxa"/>
            <w:tcBorders/>
            <w:shd w:fill="FFFFFF" w:val="clear"/>
            <w:tcMar>
              <w:bottom w:w="0" w:type="dxa"/>
            </w:tcMar>
            <w:vAlign w:val="center"/>
          </w:tcPr>
          <w:p>
            <w:pPr>
              <w:pStyle w:val="TableContents"/>
              <w:bidi w:val="0"/>
              <w:spacing w:before="0" w:after="283"/>
              <w:jc w:val="right"/>
              <w:rPr/>
            </w:pPr>
            <w:r>
              <w:rPr/>
              <w:t>(0.29</w:t>
            </w:r>
          </w:p>
        </w:tc>
        <w:tc>
          <w:tcPr>
            <w:tcW w:w="95" w:type="dxa"/>
            <w:tcBorders/>
            <w:shd w:fill="FFFFFF" w:val="clear"/>
            <w:tcMar>
              <w:bottom w:w="0" w:type="dxa"/>
            </w:tcMar>
            <w:vAlign w:val="center"/>
          </w:tcPr>
          <w:p>
            <w:pPr>
              <w:pStyle w:val="TableContents"/>
              <w:bidi w:val="0"/>
              <w:spacing w:before="0" w:after="283"/>
              <w:jc w:val="left"/>
              <w:rPr/>
            </w:pPr>
            <w:r>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220" w:type="dxa"/>
            <w:tcBorders/>
            <w:shd w:fill="FFFFFF" w:val="clear"/>
            <w:tcMar>
              <w:bottom w:w="0" w:type="dxa"/>
            </w:tcMar>
            <w:vAlign w:val="center"/>
          </w:tcPr>
          <w:p>
            <w:pPr>
              <w:pStyle w:val="TableContents"/>
              <w:bidi w:val="0"/>
              <w:spacing w:before="0" w:after="283"/>
              <w:jc w:val="right"/>
              <w:rPr/>
            </w:pPr>
            <w:r>
              <w:rPr/>
              <w:t>(1.04</w:t>
            </w:r>
          </w:p>
        </w:tc>
        <w:tc>
          <w:tcPr>
            <w:tcW w:w="110" w:type="dxa"/>
            <w:tcBorders/>
            <w:shd w:fill="FFFFFF" w:val="clear"/>
            <w:tcMar>
              <w:bottom w:w="0" w:type="dxa"/>
            </w:tcMar>
            <w:vAlign w:val="center"/>
          </w:tcPr>
          <w:p>
            <w:pPr>
              <w:pStyle w:val="TableContents"/>
              <w:bidi w:val="0"/>
              <w:spacing w:before="0" w:after="283"/>
              <w:jc w:val="left"/>
              <w:rPr/>
            </w:pPr>
            <w:r>
              <w:rPr/>
              <w:t>)</w:t>
            </w:r>
          </w:p>
        </w:tc>
      </w:tr>
      <w:tr>
        <w:trPr/>
        <w:tc>
          <w:tcPr>
            <w:tcW w:w="4735" w:type="dxa"/>
            <w:tcBorders/>
            <w:shd w:fill="CCEEFF" w:val="clear"/>
            <w:tcMar>
              <w:bottom w:w="0" w:type="dxa"/>
            </w:tcMar>
            <w:vAlign w:val="center"/>
          </w:tcPr>
          <w:p>
            <w:pPr>
              <w:pStyle w:val="TableContents"/>
              <w:bidi w:val="0"/>
              <w:spacing w:before="0" w:after="283"/>
              <w:jc w:val="left"/>
              <w:rPr/>
            </w:pPr>
            <w:r>
              <w:rPr/>
              <w:t>Weighted-average number of shares used in computing net loss per share</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100" w:type="dxa"/>
            <w:tcBorders/>
            <w:shd w:fill="CCEEFF" w:val="clear"/>
            <w:tcMar>
              <w:bottom w:w="0" w:type="dxa"/>
            </w:tcMar>
            <w:vAlign w:val="center"/>
          </w:tcPr>
          <w:p>
            <w:pPr>
              <w:pStyle w:val="TableContents"/>
              <w:bidi w:val="0"/>
              <w:spacing w:before="0" w:after="283"/>
              <w:jc w:val="right"/>
              <w:rPr/>
            </w:pPr>
            <w:r>
              <w:rPr/>
              <w:t>79,673,597</w:t>
            </w:r>
          </w:p>
        </w:tc>
        <w:tc>
          <w:tcPr>
            <w:tcW w:w="9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100" w:type="dxa"/>
            <w:tcBorders/>
            <w:shd w:fill="CCEEFF" w:val="clear"/>
            <w:tcMar>
              <w:bottom w:w="0" w:type="dxa"/>
            </w:tcMar>
            <w:vAlign w:val="center"/>
          </w:tcPr>
          <w:p>
            <w:pPr>
              <w:pStyle w:val="TableContents"/>
              <w:bidi w:val="0"/>
              <w:spacing w:before="0" w:after="283"/>
              <w:jc w:val="right"/>
              <w:rPr/>
            </w:pPr>
            <w:r>
              <w:rPr/>
              <w:t>68,882,560</w:t>
            </w:r>
          </w:p>
        </w:tc>
        <w:tc>
          <w:tcPr>
            <w:tcW w:w="9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175" w:type="dxa"/>
            <w:tcBorders/>
            <w:shd w:fill="CCEEFF" w:val="clear"/>
            <w:tcMar>
              <w:bottom w:w="0" w:type="dxa"/>
            </w:tcMar>
            <w:vAlign w:val="center"/>
          </w:tcPr>
          <w:p>
            <w:pPr>
              <w:pStyle w:val="TableContents"/>
              <w:bidi w:val="0"/>
              <w:spacing w:before="0" w:after="283"/>
              <w:jc w:val="right"/>
              <w:rPr/>
            </w:pPr>
            <w:r>
              <w:rPr/>
              <w:t>77,454,509</w:t>
            </w:r>
          </w:p>
        </w:tc>
        <w:tc>
          <w:tcPr>
            <w:tcW w:w="9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220" w:type="dxa"/>
            <w:tcBorders/>
            <w:shd w:fill="CCEEFF" w:val="clear"/>
            <w:tcMar>
              <w:bottom w:w="0" w:type="dxa"/>
            </w:tcMar>
            <w:vAlign w:val="center"/>
          </w:tcPr>
          <w:p>
            <w:pPr>
              <w:pStyle w:val="TableContents"/>
              <w:bidi w:val="0"/>
              <w:spacing w:before="0" w:after="283"/>
              <w:jc w:val="right"/>
              <w:rPr/>
            </w:pPr>
            <w:r>
              <w:rPr/>
              <w:t>69,867,792</w:t>
            </w:r>
          </w:p>
        </w:tc>
        <w:tc>
          <w:tcPr>
            <w:tcW w:w="110" w:type="dxa"/>
            <w:tcBorders/>
            <w:shd w:fill="CCEEFF" w:val="clear"/>
            <w:tcMar>
              <w:bottom w:w="0" w:type="dxa"/>
            </w:tcMar>
            <w:vAlign w:val="center"/>
          </w:tcPr>
          <w:p>
            <w:pPr>
              <w:pStyle w:val="TableContents"/>
              <w:bidi w:val="0"/>
              <w:spacing w:before="0" w:after="283"/>
              <w:jc w:val="left"/>
              <w:rPr/>
            </w:pPr>
            <w:r>
              <w:rPr/>
              <w:t> </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accompanying notes are an integral part of these consolidated financial statements.</w:t>
      </w:r>
    </w:p>
    <w:p>
      <w:pPr>
        <w:pStyle w:val="TextBody"/>
        <w:bidi w:val="0"/>
        <w:spacing w:before="0" w:after="0"/>
        <w:ind w:left="0" w:right="0" w:hanging="0"/>
        <w:jc w:val="center"/>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right"/>
              <w:rPr/>
            </w:pPr>
            <w:r>
              <w:rPr/>
              <w:t> </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right"/>
              <w:rPr/>
            </w:pPr>
            <w:r>
              <w:rPr/>
              <w:t> </w:t>
            </w:r>
          </w:p>
        </w:tc>
      </w:tr>
    </w:tbl>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Roadzen Inc.</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Unaudited Condensed Consolidated Statements of Cash Flow</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 US $, except share count)</w:t>
      </w:r>
    </w:p>
    <w:p>
      <w:pPr>
        <w:pStyle w:val="TextBody"/>
        <w:bidi w:val="0"/>
        <w:spacing w:before="0" w:after="0"/>
        <w:jc w:val="center"/>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410"/>
        <w:gridCol w:w="60"/>
        <w:gridCol w:w="60"/>
        <w:gridCol w:w="1175"/>
        <w:gridCol w:w="95"/>
        <w:gridCol w:w="60"/>
        <w:gridCol w:w="60"/>
        <w:gridCol w:w="1175"/>
        <w:gridCol w:w="110"/>
      </w:tblGrid>
      <w:tr>
        <w:trPr/>
        <w:tc>
          <w:tcPr>
            <w:tcW w:w="741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625" w:type="dxa"/>
            <w:gridSpan w:val="6"/>
            <w:tcBorders>
              <w:bottom w:val="single" w:sz="8" w:space="0" w:color="000000"/>
            </w:tcBorders>
            <w:tcMar>
              <w:bottom w:w="28" w:type="dxa"/>
            </w:tcMar>
            <w:vAlign w:val="center"/>
          </w:tcPr>
          <w:p>
            <w:pPr>
              <w:pStyle w:val="TableContents"/>
              <w:bidi w:val="0"/>
              <w:spacing w:before="0" w:after="283"/>
              <w:jc w:val="center"/>
              <w:rPr>
                <w:b/>
              </w:rPr>
            </w:pPr>
            <w:r>
              <w:rPr>
                <w:b/>
              </w:rPr>
              <w:t>For the year ended</w:t>
              <w:br/>
              <w:t>March 31,</w:t>
            </w:r>
          </w:p>
        </w:tc>
        <w:tc>
          <w:tcPr>
            <w:tcW w:w="110" w:type="dxa"/>
            <w:tcBorders/>
            <w:vAlign w:val="center"/>
          </w:tcPr>
          <w:p>
            <w:pPr>
              <w:pStyle w:val="TableContents"/>
              <w:bidi w:val="0"/>
              <w:spacing w:before="0" w:after="283"/>
              <w:jc w:val="left"/>
              <w:rPr/>
            </w:pPr>
            <w:r>
              <w:rPr/>
              <w:t> </w:t>
            </w:r>
          </w:p>
        </w:tc>
      </w:tr>
      <w:tr>
        <w:trPr/>
        <w:tc>
          <w:tcPr>
            <w:tcW w:w="7410" w:type="dxa"/>
            <w:tcBorders/>
            <w:vAlign w:val="center"/>
          </w:tcPr>
          <w:p>
            <w:pPr>
              <w:pStyle w:val="TableContents"/>
              <w:bidi w:val="0"/>
              <w:spacing w:before="0" w:after="283"/>
              <w:jc w:val="center"/>
              <w:rPr>
                <w:b/>
              </w:rPr>
            </w:pPr>
            <w:r>
              <w:rPr>
                <w:b/>
              </w:rPr>
              <w:t>Particulars</w:t>
            </w:r>
          </w:p>
        </w:tc>
        <w:tc>
          <w:tcPr>
            <w:tcW w:w="60" w:type="dxa"/>
            <w:tcBorders/>
            <w:vAlign w:val="center"/>
          </w:tcPr>
          <w:p>
            <w:pPr>
              <w:pStyle w:val="TableContents"/>
              <w:bidi w:val="0"/>
              <w:spacing w:before="0" w:after="283"/>
              <w:jc w:val="left"/>
              <w:rPr/>
            </w:pPr>
            <w:r>
              <w:rPr/>
              <w:t> </w:t>
            </w:r>
          </w:p>
        </w:tc>
        <w:tc>
          <w:tcPr>
            <w:tcW w:w="123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2026</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3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2025</w:t>
            </w:r>
          </w:p>
        </w:tc>
        <w:tc>
          <w:tcPr>
            <w:tcW w:w="110" w:type="dxa"/>
            <w:tcBorders/>
            <w:vAlign w:val="center"/>
          </w:tcPr>
          <w:p>
            <w:pPr>
              <w:pStyle w:val="TableContents"/>
              <w:bidi w:val="0"/>
              <w:spacing w:before="0" w:after="283"/>
              <w:jc w:val="left"/>
              <w:rPr/>
            </w:pPr>
            <w:r>
              <w:rPr/>
              <w:t> </w:t>
            </w:r>
          </w:p>
        </w:tc>
      </w:tr>
      <w:tr>
        <w:trPr/>
        <w:tc>
          <w:tcPr>
            <w:tcW w:w="741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35" w:type="dxa"/>
            <w:gridSpan w:val="2"/>
            <w:tcBorders/>
            <w:vAlign w:val="center"/>
          </w:tcPr>
          <w:p>
            <w:pPr>
              <w:pStyle w:val="TableContents"/>
              <w:bidi w:val="0"/>
              <w:spacing w:before="0" w:after="283"/>
              <w:jc w:val="left"/>
              <w:rPr/>
            </w:pPr>
            <w:r>
              <w:rPr/>
              <w:t> </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35" w:type="dxa"/>
            <w:gridSpan w:val="2"/>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 </w:t>
            </w:r>
          </w:p>
        </w:tc>
      </w:tr>
      <w:tr>
        <w:trPr/>
        <w:tc>
          <w:tcPr>
            <w:tcW w:w="7410" w:type="dxa"/>
            <w:tcBorders/>
            <w:shd w:fill="CCEEFF" w:val="clear"/>
            <w:vAlign w:val="center"/>
          </w:tcPr>
          <w:p>
            <w:pPr>
              <w:pStyle w:val="TableContents"/>
              <w:bidi w:val="0"/>
              <w:spacing w:before="0" w:after="283"/>
              <w:jc w:val="left"/>
              <w:rPr>
                <w:b/>
              </w:rPr>
            </w:pPr>
            <w:r>
              <w:rPr>
                <w:b/>
              </w:rPr>
              <w:t>Cash flows from operating activities</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p>
        </w:tc>
      </w:tr>
      <w:tr>
        <w:trPr/>
        <w:tc>
          <w:tcPr>
            <w:tcW w:w="7410" w:type="dxa"/>
            <w:tcBorders/>
            <w:shd w:fill="FFFFFF" w:val="clear"/>
            <w:vAlign w:val="center"/>
          </w:tcPr>
          <w:p>
            <w:pPr>
              <w:pStyle w:val="TableContents"/>
              <w:bidi w:val="0"/>
              <w:spacing w:before="0" w:after="283"/>
              <w:jc w:val="left"/>
              <w:rPr>
                <w:b/>
              </w:rPr>
            </w:pPr>
            <w:r>
              <w:rPr>
                <w:b/>
              </w:rPr>
              <w:t>Net Loss attributable to Ordinary shareholders</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b/>
              </w:rPr>
            </w:pPr>
            <w:r>
              <w:rPr>
                <w:b/>
              </w:rPr>
              <w:t>(22,516,222</w:t>
            </w:r>
          </w:p>
        </w:tc>
        <w:tc>
          <w:tcPr>
            <w:tcW w:w="95" w:type="dxa"/>
            <w:tcBorders/>
            <w:shd w:fill="FFFFFF" w:val="clear"/>
            <w:vAlign w:val="center"/>
          </w:tcPr>
          <w:p>
            <w:pPr>
              <w:pStyle w:val="TableContents"/>
              <w:bidi w:val="0"/>
              <w:spacing w:before="0" w:after="283"/>
              <w:jc w:val="left"/>
              <w:rPr>
                <w:b/>
              </w:rPr>
            </w:pPr>
            <w:r>
              <w:rPr>
                <w:b/>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b/>
              </w:rPr>
            </w:pPr>
            <w:r>
              <w:rPr>
                <w:b/>
              </w:rPr>
              <w:t>(72,870,432</w:t>
            </w:r>
          </w:p>
        </w:tc>
        <w:tc>
          <w:tcPr>
            <w:tcW w:w="110" w:type="dxa"/>
            <w:tcBorders/>
            <w:shd w:fill="FFFFFF" w:val="clear"/>
            <w:vAlign w:val="center"/>
          </w:tcPr>
          <w:p>
            <w:pPr>
              <w:pStyle w:val="TableContents"/>
              <w:bidi w:val="0"/>
              <w:spacing w:before="0" w:after="283"/>
              <w:jc w:val="left"/>
              <w:rPr>
                <w:b/>
              </w:rPr>
            </w:pPr>
            <w:r>
              <w:rPr>
                <w:b/>
              </w:rPr>
              <w:t>)</w:t>
            </w:r>
          </w:p>
        </w:tc>
      </w:tr>
      <w:tr>
        <w:trPr/>
        <w:tc>
          <w:tcPr>
            <w:tcW w:w="7410" w:type="dxa"/>
            <w:tcBorders/>
            <w:shd w:fill="CCEEFF" w:val="clear"/>
            <w:vAlign w:val="center"/>
          </w:tcPr>
          <w:p>
            <w:pPr>
              <w:pStyle w:val="TableContents"/>
              <w:bidi w:val="0"/>
              <w:spacing w:before="0" w:after="283"/>
              <w:jc w:val="left"/>
              <w:rPr/>
            </w:pPr>
            <w:r>
              <w:rPr/>
              <w:t>Adjustments to reconcile net loss to net cash used in operating activities:</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p>
        </w:tc>
      </w:tr>
      <w:tr>
        <w:trPr/>
        <w:tc>
          <w:tcPr>
            <w:tcW w:w="7410" w:type="dxa"/>
            <w:tcBorders/>
            <w:shd w:fill="FFFFFF" w:val="clear"/>
            <w:vAlign w:val="center"/>
          </w:tcPr>
          <w:p>
            <w:pPr>
              <w:pStyle w:val="TableContents"/>
              <w:bidi w:val="0"/>
              <w:spacing w:before="0" w:after="283"/>
              <w:jc w:val="left"/>
              <w:rPr/>
            </w:pPr>
            <w:r>
              <w:rPr/>
              <w:t>Depreciation and amortization</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pPr>
            <w:r>
              <w:rPr/>
              <w:t>2,244,268</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pPr>
            <w:r>
              <w:rPr/>
              <w:t>2,020,610</w:t>
            </w:r>
          </w:p>
        </w:tc>
        <w:tc>
          <w:tcPr>
            <w:tcW w:w="110" w:type="dxa"/>
            <w:tcBorders/>
            <w:shd w:fill="FFFFFF" w:val="clear"/>
            <w:vAlign w:val="center"/>
          </w:tcPr>
          <w:p>
            <w:pPr>
              <w:pStyle w:val="TableContents"/>
              <w:bidi w:val="0"/>
              <w:spacing w:before="0" w:after="283"/>
              <w:jc w:val="left"/>
              <w:rPr/>
            </w:pPr>
            <w:r>
              <w:rPr/>
              <w:t> </w:t>
            </w:r>
          </w:p>
        </w:tc>
      </w:tr>
      <w:tr>
        <w:trPr/>
        <w:tc>
          <w:tcPr>
            <w:tcW w:w="7410" w:type="dxa"/>
            <w:tcBorders/>
            <w:shd w:fill="CCEEFF" w:val="clear"/>
            <w:vAlign w:val="center"/>
          </w:tcPr>
          <w:p>
            <w:pPr>
              <w:pStyle w:val="TableContents"/>
              <w:bidi w:val="0"/>
              <w:spacing w:before="0" w:after="283"/>
              <w:jc w:val="left"/>
              <w:rPr/>
            </w:pPr>
            <w:r>
              <w:rPr/>
              <w:t>Stock based compensation</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497,806</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47,211,816</w:t>
            </w:r>
          </w:p>
        </w:tc>
        <w:tc>
          <w:tcPr>
            <w:tcW w:w="110" w:type="dxa"/>
            <w:tcBorders/>
            <w:shd w:fill="CCEEFF" w:val="clear"/>
            <w:vAlign w:val="center"/>
          </w:tcPr>
          <w:p>
            <w:pPr>
              <w:pStyle w:val="TableContents"/>
              <w:bidi w:val="0"/>
              <w:spacing w:before="0" w:after="283"/>
              <w:jc w:val="left"/>
              <w:rPr/>
            </w:pPr>
            <w:r>
              <w:rPr/>
              <w:t> </w:t>
            </w:r>
          </w:p>
        </w:tc>
      </w:tr>
      <w:tr>
        <w:trPr/>
        <w:tc>
          <w:tcPr>
            <w:tcW w:w="7410" w:type="dxa"/>
            <w:tcBorders/>
            <w:shd w:fill="FFFFFF" w:val="clear"/>
            <w:vAlign w:val="center"/>
          </w:tcPr>
          <w:p>
            <w:pPr>
              <w:pStyle w:val="TableContents"/>
              <w:bidi w:val="0"/>
              <w:spacing w:before="0" w:after="283"/>
              <w:jc w:val="left"/>
              <w:rPr/>
            </w:pPr>
            <w:r>
              <w:rPr/>
              <w:t>Deferred income taxes</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pPr>
            <w:r>
              <w:rPr/>
              <w:t>(14,303</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pPr>
            <w:r>
              <w:rPr/>
              <w:t>(193,261</w:t>
            </w:r>
          </w:p>
        </w:tc>
        <w:tc>
          <w:tcPr>
            <w:tcW w:w="110" w:type="dxa"/>
            <w:tcBorders/>
            <w:shd w:fill="FFFFFF" w:val="clear"/>
            <w:vAlign w:val="center"/>
          </w:tcPr>
          <w:p>
            <w:pPr>
              <w:pStyle w:val="TableContents"/>
              <w:bidi w:val="0"/>
              <w:spacing w:before="0" w:after="283"/>
              <w:jc w:val="left"/>
              <w:rPr/>
            </w:pPr>
            <w:r>
              <w:rPr/>
              <w:t>)</w:t>
            </w:r>
          </w:p>
        </w:tc>
      </w:tr>
      <w:tr>
        <w:trPr/>
        <w:tc>
          <w:tcPr>
            <w:tcW w:w="7410" w:type="dxa"/>
            <w:tcBorders/>
            <w:shd w:fill="CCEEFF" w:val="clear"/>
            <w:vAlign w:val="center"/>
          </w:tcPr>
          <w:p>
            <w:pPr>
              <w:pStyle w:val="TableContents"/>
              <w:bidi w:val="0"/>
              <w:spacing w:before="0" w:after="283"/>
              <w:jc w:val="left"/>
              <w:rPr/>
            </w:pPr>
            <w:r>
              <w:rPr/>
              <w:t>Unrealised foreign exchange loss/(profit)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(831,009</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132,121</w:t>
            </w:r>
          </w:p>
        </w:tc>
        <w:tc>
          <w:tcPr>
            <w:tcW w:w="110" w:type="dxa"/>
            <w:tcBorders/>
            <w:shd w:fill="CCEEFF" w:val="clear"/>
            <w:vAlign w:val="center"/>
          </w:tcPr>
          <w:p>
            <w:pPr>
              <w:pStyle w:val="TableContents"/>
              <w:bidi w:val="0"/>
              <w:spacing w:before="0" w:after="283"/>
              <w:jc w:val="left"/>
              <w:rPr/>
            </w:pPr>
            <w:r>
              <w:rPr/>
              <w:t> </w:t>
            </w:r>
          </w:p>
        </w:tc>
      </w:tr>
      <w:tr>
        <w:trPr/>
        <w:tc>
          <w:tcPr>
            <w:tcW w:w="7410" w:type="dxa"/>
            <w:tcBorders/>
            <w:shd w:fill="FFFFFF" w:val="clear"/>
            <w:vAlign w:val="center"/>
          </w:tcPr>
          <w:p>
            <w:pPr>
              <w:pStyle w:val="TableContents"/>
              <w:bidi w:val="0"/>
              <w:spacing w:before="0" w:after="283"/>
              <w:jc w:val="left"/>
              <w:rPr/>
            </w:pPr>
            <w:r>
              <w:rPr/>
              <w:t>Gain over liability settled /expenses settled through issuance of equity equity shares</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pPr>
            <w:r>
              <w:rPr/>
              <w:t>(64,875</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pPr>
            <w:r>
              <w:rPr/>
              <w:t>-</w:t>
            </w:r>
          </w:p>
        </w:tc>
        <w:tc>
          <w:tcPr>
            <w:tcW w:w="110" w:type="dxa"/>
            <w:tcBorders/>
            <w:shd w:fill="FFFFFF" w:val="clear"/>
            <w:vAlign w:val="center"/>
          </w:tcPr>
          <w:p>
            <w:pPr>
              <w:pStyle w:val="TableContents"/>
              <w:bidi w:val="0"/>
              <w:spacing w:before="0" w:after="283"/>
              <w:jc w:val="left"/>
              <w:rPr/>
            </w:pPr>
            <w:r>
              <w:rPr/>
              <w:t> </w:t>
            </w:r>
          </w:p>
        </w:tc>
      </w:tr>
      <w:tr>
        <w:trPr/>
        <w:tc>
          <w:tcPr>
            <w:tcW w:w="7410" w:type="dxa"/>
            <w:tcBorders/>
            <w:shd w:fill="CCEEFF" w:val="clear"/>
            <w:vAlign w:val="center"/>
          </w:tcPr>
          <w:p>
            <w:pPr>
              <w:pStyle w:val="TableContents"/>
              <w:bidi w:val="0"/>
              <w:spacing w:before="0" w:after="283"/>
              <w:jc w:val="left"/>
              <w:rPr/>
            </w:pPr>
            <w:r>
              <w:rPr/>
              <w:t>Fair value losses/(profits) in financial instruments carried at fair value</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3,984,386</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14,844,420</w:t>
            </w:r>
          </w:p>
        </w:tc>
        <w:tc>
          <w:tcPr>
            <w:tcW w:w="110" w:type="dxa"/>
            <w:tcBorders/>
            <w:shd w:fill="CCEEFF" w:val="clear"/>
            <w:vAlign w:val="center"/>
          </w:tcPr>
          <w:p>
            <w:pPr>
              <w:pStyle w:val="TableContents"/>
              <w:bidi w:val="0"/>
              <w:spacing w:before="0" w:after="283"/>
              <w:jc w:val="left"/>
              <w:rPr/>
            </w:pPr>
            <w:r>
              <w:rPr/>
              <w:t> </w:t>
            </w:r>
          </w:p>
        </w:tc>
      </w:tr>
      <w:tr>
        <w:trPr/>
        <w:tc>
          <w:tcPr>
            <w:tcW w:w="7410" w:type="dxa"/>
            <w:tcBorders/>
            <w:shd w:fill="FFFFFF" w:val="clear"/>
            <w:vAlign w:val="center"/>
          </w:tcPr>
          <w:p>
            <w:pPr>
              <w:pStyle w:val="TableContents"/>
              <w:bidi w:val="0"/>
              <w:spacing w:before="0" w:after="283"/>
              <w:jc w:val="left"/>
              <w:rPr/>
            </w:pPr>
            <w:r>
              <w:rPr/>
              <w:t>Impairment of investment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pPr>
            <w:r>
              <w:rPr/>
              <w:t>269,470</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pPr>
            <w:r>
              <w:rPr/>
              <w:t>1,245,326</w:t>
            </w:r>
          </w:p>
        </w:tc>
        <w:tc>
          <w:tcPr>
            <w:tcW w:w="110" w:type="dxa"/>
            <w:tcBorders/>
            <w:shd w:fill="FFFFFF" w:val="clear"/>
            <w:vAlign w:val="center"/>
          </w:tcPr>
          <w:p>
            <w:pPr>
              <w:pStyle w:val="TableContents"/>
              <w:bidi w:val="0"/>
              <w:spacing w:before="0" w:after="283"/>
              <w:jc w:val="left"/>
              <w:rPr/>
            </w:pPr>
            <w:r>
              <w:rPr/>
              <w:t> </w:t>
            </w:r>
          </w:p>
        </w:tc>
      </w:tr>
      <w:tr>
        <w:trPr/>
        <w:tc>
          <w:tcPr>
            <w:tcW w:w="7410" w:type="dxa"/>
            <w:tcBorders/>
            <w:shd w:fill="CCEEFF" w:val="clear"/>
            <w:vAlign w:val="center"/>
          </w:tcPr>
          <w:p>
            <w:pPr>
              <w:pStyle w:val="TableContents"/>
              <w:bidi w:val="0"/>
              <w:spacing w:before="0" w:after="283"/>
              <w:jc w:val="left"/>
              <w:rPr/>
            </w:pPr>
            <w:r>
              <w:rPr/>
              <w:t>Expected credit loss (net of reversal)</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2,654,182</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246,115</w:t>
            </w:r>
          </w:p>
        </w:tc>
        <w:tc>
          <w:tcPr>
            <w:tcW w:w="110" w:type="dxa"/>
            <w:tcBorders/>
            <w:shd w:fill="CCEEFF" w:val="clear"/>
            <w:vAlign w:val="center"/>
          </w:tcPr>
          <w:p>
            <w:pPr>
              <w:pStyle w:val="TableContents"/>
              <w:bidi w:val="0"/>
              <w:spacing w:before="0" w:after="283"/>
              <w:jc w:val="left"/>
              <w:rPr/>
            </w:pPr>
            <w:r>
              <w:rPr/>
              <w:t> </w:t>
            </w:r>
          </w:p>
        </w:tc>
      </w:tr>
      <w:tr>
        <w:trPr/>
        <w:tc>
          <w:tcPr>
            <w:tcW w:w="7410" w:type="dxa"/>
            <w:tcBorders/>
            <w:shd w:fill="FFFFFF" w:val="clear"/>
            <w:vAlign w:val="center"/>
          </w:tcPr>
          <w:p>
            <w:pPr>
              <w:pStyle w:val="TableContents"/>
              <w:bidi w:val="0"/>
              <w:spacing w:before="0" w:after="283"/>
              <w:jc w:val="left"/>
              <w:rPr/>
            </w:pPr>
            <w:r>
              <w:rPr/>
              <w:t>Assets written off</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pPr>
            <w:r>
              <w:rPr/>
              <w:t>82,032</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pPr>
            <w:r>
              <w:rPr/>
              <w:t>-</w:t>
            </w:r>
          </w:p>
        </w:tc>
        <w:tc>
          <w:tcPr>
            <w:tcW w:w="110" w:type="dxa"/>
            <w:tcBorders/>
            <w:shd w:fill="FFFFFF" w:val="clear"/>
            <w:vAlign w:val="center"/>
          </w:tcPr>
          <w:p>
            <w:pPr>
              <w:pStyle w:val="TableContents"/>
              <w:bidi w:val="0"/>
              <w:spacing w:before="0" w:after="283"/>
              <w:jc w:val="left"/>
              <w:rPr/>
            </w:pPr>
            <w:r>
              <w:rPr/>
              <w:t> </w:t>
            </w:r>
          </w:p>
        </w:tc>
      </w:tr>
      <w:tr>
        <w:trPr/>
        <w:tc>
          <w:tcPr>
            <w:tcW w:w="7410" w:type="dxa"/>
            <w:tcBorders/>
            <w:shd w:fill="CCEEFF" w:val="clear"/>
            <w:vAlign w:val="center"/>
          </w:tcPr>
          <w:p>
            <w:pPr>
              <w:pStyle w:val="TableContents"/>
              <w:bidi w:val="0"/>
              <w:spacing w:before="0" w:after="283"/>
              <w:jc w:val="left"/>
              <w:rPr/>
            </w:pPr>
            <w:r>
              <w:rPr/>
              <w:t>Balances written off/(back)</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(1,545,749</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(8,143,051</w:t>
            </w:r>
          </w:p>
        </w:tc>
        <w:tc>
          <w:tcPr>
            <w:tcW w:w="110" w:type="dxa"/>
            <w:tcBorders/>
            <w:shd w:fill="CCEEFF" w:val="clear"/>
            <w:vAlign w:val="center"/>
          </w:tcPr>
          <w:p>
            <w:pPr>
              <w:pStyle w:val="TableContents"/>
              <w:bidi w:val="0"/>
              <w:spacing w:before="0" w:after="283"/>
              <w:jc w:val="left"/>
              <w:rPr/>
            </w:pPr>
            <w:r>
              <w:rPr/>
              <w:t>)</w:t>
            </w:r>
          </w:p>
        </w:tc>
      </w:tr>
      <w:tr>
        <w:trPr/>
        <w:tc>
          <w:tcPr>
            <w:tcW w:w="7410" w:type="dxa"/>
            <w:tcBorders/>
            <w:shd w:fill="FFFFFF" w:val="clear"/>
            <w:vAlign w:val="center"/>
          </w:tcPr>
          <w:p>
            <w:pPr>
              <w:pStyle w:val="TableContents"/>
              <w:bidi w:val="0"/>
              <w:spacing w:before="0" w:after="283"/>
              <w:jc w:val="left"/>
              <w:rPr/>
            </w:pPr>
            <w:r>
              <w:rPr/>
              <w:t>Gain on extinguishment of intercompany financial assets and liabilities</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pPr>
            <w:r>
              <w:rPr/>
              <w:t>(482,689</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pPr>
            <w:r>
              <w:rPr/>
              <w:t>-</w:t>
            </w:r>
          </w:p>
        </w:tc>
        <w:tc>
          <w:tcPr>
            <w:tcW w:w="110" w:type="dxa"/>
            <w:tcBorders/>
            <w:shd w:fill="FFFFFF" w:val="clear"/>
            <w:vAlign w:val="center"/>
          </w:tcPr>
          <w:p>
            <w:pPr>
              <w:pStyle w:val="TableContents"/>
              <w:bidi w:val="0"/>
              <w:spacing w:before="0" w:after="283"/>
              <w:jc w:val="left"/>
              <w:rPr/>
            </w:pPr>
            <w:r>
              <w:rPr/>
              <w:t> </w:t>
            </w:r>
          </w:p>
        </w:tc>
      </w:tr>
      <w:tr>
        <w:trPr/>
        <w:tc>
          <w:tcPr>
            <w:tcW w:w="7410" w:type="dxa"/>
            <w:tcBorders/>
            <w:shd w:fill="CCEEFF" w:val="clear"/>
            <w:vAlign w:val="center"/>
          </w:tcPr>
          <w:p>
            <w:pPr>
              <w:pStyle w:val="TableContents"/>
              <w:bidi w:val="0"/>
              <w:spacing w:before="0" w:after="283"/>
              <w:jc w:val="left"/>
              <w:rPr/>
            </w:pPr>
            <w:r>
              <w:rPr/>
              <w:t>Net total loss attributable to non-controlling interest, net of tax</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(500,940</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(192,879</w:t>
            </w:r>
          </w:p>
        </w:tc>
        <w:tc>
          <w:tcPr>
            <w:tcW w:w="110" w:type="dxa"/>
            <w:tcBorders/>
            <w:shd w:fill="CCEEFF" w:val="clear"/>
            <w:vAlign w:val="center"/>
          </w:tcPr>
          <w:p>
            <w:pPr>
              <w:pStyle w:val="TableContents"/>
              <w:bidi w:val="0"/>
              <w:spacing w:before="0" w:after="283"/>
              <w:jc w:val="left"/>
              <w:rPr/>
            </w:pPr>
            <w:r>
              <w:rPr/>
              <w:t>)</w:t>
            </w:r>
          </w:p>
        </w:tc>
      </w:tr>
      <w:tr>
        <w:trPr/>
        <w:tc>
          <w:tcPr>
            <w:tcW w:w="7410" w:type="dxa"/>
            <w:tcBorders/>
            <w:shd w:fill="FFFFFF" w:val="clear"/>
            <w:vAlign w:val="center"/>
          </w:tcPr>
          <w:p>
            <w:pPr>
              <w:pStyle w:val="TableContents"/>
              <w:bidi w:val="0"/>
              <w:spacing w:before="0" w:after="283"/>
              <w:jc w:val="left"/>
              <w:rPr>
                <w:b/>
              </w:rPr>
            </w:pPr>
            <w:r>
              <w:rPr>
                <w:b/>
              </w:rPr>
              <w:t>Changes in assets and liabilities, net of assets acquired and liabilities assumed from acquisitions:</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p>
        </w:tc>
      </w:tr>
      <w:tr>
        <w:trPr/>
        <w:tc>
          <w:tcPr>
            <w:tcW w:w="7410" w:type="dxa"/>
            <w:tcBorders/>
            <w:shd w:fill="CCEEFF" w:val="clear"/>
            <w:vAlign w:val="center"/>
          </w:tcPr>
          <w:p>
            <w:pPr>
              <w:pStyle w:val="TableContents"/>
              <w:bidi w:val="0"/>
              <w:spacing w:before="0" w:after="283"/>
              <w:jc w:val="left"/>
              <w:rPr/>
            </w:pPr>
            <w:r>
              <w:rPr/>
              <w:t>Inventories</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85,980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(131,868</w:t>
            </w:r>
          </w:p>
        </w:tc>
        <w:tc>
          <w:tcPr>
            <w:tcW w:w="110" w:type="dxa"/>
            <w:tcBorders/>
            <w:shd w:fill="CCEEFF" w:val="clear"/>
            <w:vAlign w:val="center"/>
          </w:tcPr>
          <w:p>
            <w:pPr>
              <w:pStyle w:val="TableContents"/>
              <w:bidi w:val="0"/>
              <w:spacing w:before="0" w:after="283"/>
              <w:jc w:val="left"/>
              <w:rPr/>
            </w:pPr>
            <w:r>
              <w:rPr/>
              <w:t>)</w:t>
            </w:r>
          </w:p>
        </w:tc>
      </w:tr>
      <w:tr>
        <w:trPr/>
        <w:tc>
          <w:tcPr>
            <w:tcW w:w="7410" w:type="dxa"/>
            <w:tcBorders/>
            <w:shd w:fill="FFFFFF" w:val="clear"/>
            <w:vAlign w:val="center"/>
          </w:tcPr>
          <w:p>
            <w:pPr>
              <w:pStyle w:val="TableContents"/>
              <w:bidi w:val="0"/>
              <w:spacing w:before="0" w:after="283"/>
              <w:jc w:val="left"/>
              <w:rPr/>
            </w:pPr>
            <w:r>
              <w:rPr/>
              <w:t>Accounts receivables, net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pPr>
            <w:r>
              <w:rPr/>
              <w:t>(4,776,282</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pPr>
            <w:r>
              <w:rPr/>
              <w:t>780,880</w:t>
            </w:r>
          </w:p>
        </w:tc>
        <w:tc>
          <w:tcPr>
            <w:tcW w:w="110" w:type="dxa"/>
            <w:tcBorders/>
            <w:shd w:fill="FFFFFF" w:val="clear"/>
            <w:vAlign w:val="center"/>
          </w:tcPr>
          <w:p>
            <w:pPr>
              <w:pStyle w:val="TableContents"/>
              <w:bidi w:val="0"/>
              <w:spacing w:before="0" w:after="283"/>
              <w:jc w:val="left"/>
              <w:rPr/>
            </w:pPr>
            <w:r>
              <w:rPr/>
              <w:t> </w:t>
            </w:r>
          </w:p>
        </w:tc>
      </w:tr>
      <w:tr>
        <w:trPr/>
        <w:tc>
          <w:tcPr>
            <w:tcW w:w="7410" w:type="dxa"/>
            <w:tcBorders/>
            <w:shd w:fill="CCEEFF" w:val="clear"/>
            <w:vAlign w:val="center"/>
          </w:tcPr>
          <w:p>
            <w:pPr>
              <w:pStyle w:val="TableContents"/>
              <w:bidi w:val="0"/>
              <w:spacing w:before="0" w:after="283"/>
              <w:jc w:val="left"/>
              <w:rPr/>
            </w:pPr>
            <w:r>
              <w:rPr/>
              <w:t>Prepayments and other assets</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(3,159,457</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(4,822,952</w:t>
            </w:r>
          </w:p>
        </w:tc>
        <w:tc>
          <w:tcPr>
            <w:tcW w:w="110" w:type="dxa"/>
            <w:tcBorders/>
            <w:shd w:fill="CCEEFF" w:val="clear"/>
            <w:vAlign w:val="center"/>
          </w:tcPr>
          <w:p>
            <w:pPr>
              <w:pStyle w:val="TableContents"/>
              <w:bidi w:val="0"/>
              <w:spacing w:before="0" w:after="283"/>
              <w:jc w:val="left"/>
              <w:rPr/>
            </w:pPr>
            <w:r>
              <w:rPr/>
              <w:t>)</w:t>
            </w:r>
          </w:p>
        </w:tc>
      </w:tr>
      <w:tr>
        <w:trPr/>
        <w:tc>
          <w:tcPr>
            <w:tcW w:w="7410" w:type="dxa"/>
            <w:tcBorders/>
            <w:shd w:fill="FFFFFF" w:val="clear"/>
            <w:vAlign w:val="center"/>
          </w:tcPr>
          <w:p>
            <w:pPr>
              <w:pStyle w:val="TableContents"/>
              <w:bidi w:val="0"/>
              <w:spacing w:before="0" w:after="283"/>
              <w:jc w:val="left"/>
              <w:rPr/>
            </w:pPr>
            <w:r>
              <w:rPr/>
              <w:t>Accounts payable and accrued expenses</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pPr>
            <w:r>
              <w:rPr/>
              <w:t>225,170</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pPr>
            <w:r>
              <w:rPr/>
              <w:t>2,833,077</w:t>
            </w:r>
          </w:p>
        </w:tc>
        <w:tc>
          <w:tcPr>
            <w:tcW w:w="110" w:type="dxa"/>
            <w:tcBorders/>
            <w:shd w:fill="FFFFFF" w:val="clear"/>
            <w:vAlign w:val="center"/>
          </w:tcPr>
          <w:p>
            <w:pPr>
              <w:pStyle w:val="TableContents"/>
              <w:bidi w:val="0"/>
              <w:spacing w:before="0" w:after="283"/>
              <w:jc w:val="left"/>
              <w:rPr/>
            </w:pPr>
            <w:r>
              <w:rPr/>
              <w:t> </w:t>
            </w:r>
          </w:p>
        </w:tc>
      </w:tr>
      <w:tr>
        <w:trPr/>
        <w:tc>
          <w:tcPr>
            <w:tcW w:w="7410" w:type="dxa"/>
            <w:tcBorders/>
            <w:shd w:fill="CCEEFF" w:val="clear"/>
            <w:vAlign w:val="center"/>
          </w:tcPr>
          <w:p>
            <w:pPr>
              <w:pStyle w:val="TableContents"/>
              <w:bidi w:val="0"/>
              <w:spacing w:before="0" w:after="283"/>
              <w:jc w:val="left"/>
              <w:rPr/>
            </w:pPr>
            <w:r>
              <w:rPr/>
              <w:t>Other liabilities</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175" w:type="dxa"/>
            <w:tcBorders>
              <w:bottom w:val="single" w:sz="8" w:space="0" w:color="000000"/>
            </w:tcBorders>
            <w:shd w:fill="CCEEFF" w:val="clear"/>
            <w:tcMar>
              <w:bottom w:w="28" w:type="dxa"/>
            </w:tcMar>
            <w:vAlign w:val="center"/>
          </w:tcPr>
          <w:p>
            <w:pPr>
              <w:pStyle w:val="TableContents"/>
              <w:bidi w:val="0"/>
              <w:spacing w:before="0" w:after="283"/>
              <w:jc w:val="right"/>
              <w:rPr/>
            </w:pPr>
            <w:r>
              <w:rPr/>
              <w:t>3,576,831</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175" w:type="dxa"/>
            <w:tcBorders>
              <w:bottom w:val="single" w:sz="8" w:space="0" w:color="000000"/>
            </w:tcBorders>
            <w:shd w:fill="CCEEFF" w:val="clear"/>
            <w:tcMar>
              <w:bottom w:w="28" w:type="dxa"/>
            </w:tcMar>
            <w:vAlign w:val="center"/>
          </w:tcPr>
          <w:p>
            <w:pPr>
              <w:pStyle w:val="TableContents"/>
              <w:bidi w:val="0"/>
              <w:spacing w:before="0" w:after="283"/>
              <w:jc w:val="right"/>
              <w:rPr/>
            </w:pPr>
            <w:r>
              <w:rPr/>
              <w:t>(1,102,120</w:t>
            </w:r>
          </w:p>
        </w:tc>
        <w:tc>
          <w:tcPr>
            <w:tcW w:w="110" w:type="dxa"/>
            <w:tcBorders/>
            <w:shd w:fill="CCEEFF" w:val="clear"/>
            <w:vAlign w:val="center"/>
          </w:tcPr>
          <w:p>
            <w:pPr>
              <w:pStyle w:val="TableContents"/>
              <w:bidi w:val="0"/>
              <w:spacing w:before="0" w:after="283"/>
              <w:jc w:val="left"/>
              <w:rPr/>
            </w:pPr>
            <w:r>
              <w:rPr/>
              <w:t>)</w:t>
            </w:r>
          </w:p>
        </w:tc>
      </w:tr>
      <w:tr>
        <w:trPr/>
        <w:tc>
          <w:tcPr>
            <w:tcW w:w="7410" w:type="dxa"/>
            <w:tcBorders/>
            <w:shd w:fill="FFFFFF" w:val="clear"/>
            <w:vAlign w:val="center"/>
          </w:tcPr>
          <w:p>
            <w:pPr>
              <w:pStyle w:val="TableContents"/>
              <w:bidi w:val="0"/>
              <w:spacing w:before="0" w:after="283"/>
              <w:jc w:val="left"/>
              <w:rPr>
                <w:b/>
              </w:rPr>
            </w:pPr>
            <w:r>
              <w:rPr>
                <w:b/>
              </w:rPr>
              <w:t>Net cash used in operating activities</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75" w:type="dxa"/>
            <w:tcBorders>
              <w:bottom w:val="single" w:sz="8" w:space="0" w:color="000000"/>
            </w:tcBorders>
            <w:shd w:fill="FFFFFF" w:val="clear"/>
            <w:tcMar>
              <w:bottom w:w="28" w:type="dxa"/>
            </w:tcMar>
            <w:vAlign w:val="center"/>
          </w:tcPr>
          <w:p>
            <w:pPr>
              <w:pStyle w:val="TableContents"/>
              <w:bidi w:val="0"/>
              <w:spacing w:before="0" w:after="283"/>
              <w:jc w:val="right"/>
              <w:rPr>
                <w:b/>
              </w:rPr>
            </w:pPr>
            <w:r>
              <w:rPr>
                <w:b/>
              </w:rPr>
              <w:t>(20,271,401</w:t>
            </w:r>
          </w:p>
        </w:tc>
        <w:tc>
          <w:tcPr>
            <w:tcW w:w="95" w:type="dxa"/>
            <w:tcBorders/>
            <w:shd w:fill="FFFFFF" w:val="clear"/>
            <w:vAlign w:val="center"/>
          </w:tcPr>
          <w:p>
            <w:pPr>
              <w:pStyle w:val="TableContents"/>
              <w:bidi w:val="0"/>
              <w:spacing w:before="0" w:after="283"/>
              <w:jc w:val="left"/>
              <w:rPr>
                <w:b/>
              </w:rPr>
            </w:pPr>
            <w:r>
              <w:rPr>
                <w:b/>
              </w:rPr>
              <w:t>)</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75" w:type="dxa"/>
            <w:tcBorders>
              <w:bottom w:val="single" w:sz="8" w:space="0" w:color="000000"/>
            </w:tcBorders>
            <w:shd w:fill="FFFFFF" w:val="clear"/>
            <w:tcMar>
              <w:bottom w:w="28" w:type="dxa"/>
            </w:tcMar>
            <w:vAlign w:val="center"/>
          </w:tcPr>
          <w:p>
            <w:pPr>
              <w:pStyle w:val="TableContents"/>
              <w:bidi w:val="0"/>
              <w:spacing w:before="0" w:after="283"/>
              <w:jc w:val="right"/>
              <w:rPr>
                <w:b/>
              </w:rPr>
            </w:pPr>
            <w:r>
              <w:rPr>
                <w:b/>
              </w:rPr>
              <w:t>(18,142,198</w:t>
            </w:r>
          </w:p>
        </w:tc>
        <w:tc>
          <w:tcPr>
            <w:tcW w:w="110" w:type="dxa"/>
            <w:tcBorders/>
            <w:shd w:fill="FFFFFF" w:val="clear"/>
            <w:vAlign w:val="center"/>
          </w:tcPr>
          <w:p>
            <w:pPr>
              <w:pStyle w:val="TableContents"/>
              <w:bidi w:val="0"/>
              <w:spacing w:before="0" w:after="283"/>
              <w:jc w:val="left"/>
              <w:rPr>
                <w:b/>
              </w:rPr>
            </w:pPr>
            <w:r>
              <w:rPr>
                <w:b/>
              </w:rPr>
              <w:t>)</w:t>
            </w:r>
          </w:p>
        </w:tc>
      </w:tr>
      <w:tr>
        <w:trPr/>
        <w:tc>
          <w:tcPr>
            <w:tcW w:w="7410" w:type="dxa"/>
            <w:tcBorders/>
            <w:shd w:fill="CCEEFF" w:val="clear"/>
            <w:vAlign w:val="center"/>
          </w:tcPr>
          <w:p>
            <w:pPr>
              <w:pStyle w:val="TableContents"/>
              <w:bidi w:val="0"/>
              <w:spacing w:before="0" w:after="283"/>
              <w:jc w:val="left"/>
              <w:rPr>
                <w:b/>
              </w:rPr>
            </w:pPr>
            <w:r>
              <w:rPr>
                <w:b/>
              </w:rPr>
              <w:t>Cash flows from investing activities</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p>
        </w:tc>
      </w:tr>
      <w:tr>
        <w:trPr/>
        <w:tc>
          <w:tcPr>
            <w:tcW w:w="7410" w:type="dxa"/>
            <w:tcBorders/>
            <w:shd w:fill="FFFFFF" w:val="clear"/>
            <w:vAlign w:val="center"/>
          </w:tcPr>
          <w:p>
            <w:pPr>
              <w:pStyle w:val="TableContents"/>
              <w:bidi w:val="0"/>
              <w:spacing w:before="0" w:after="283"/>
              <w:jc w:val="left"/>
              <w:rPr/>
            </w:pPr>
            <w:r>
              <w:rPr/>
              <w:t>Purchase of property and equipment &amp; intangible assets</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pPr>
            <w:r>
              <w:rPr/>
              <w:t>(1,009,660</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pPr>
            <w:r>
              <w:rPr/>
              <w:t>(424,910</w:t>
            </w:r>
          </w:p>
        </w:tc>
        <w:tc>
          <w:tcPr>
            <w:tcW w:w="110" w:type="dxa"/>
            <w:tcBorders/>
            <w:shd w:fill="FFFFFF" w:val="clear"/>
            <w:vAlign w:val="center"/>
          </w:tcPr>
          <w:p>
            <w:pPr>
              <w:pStyle w:val="TableContents"/>
              <w:bidi w:val="0"/>
              <w:spacing w:before="0" w:after="283"/>
              <w:jc w:val="left"/>
              <w:rPr/>
            </w:pPr>
            <w:r>
              <w:rPr/>
              <w:t>)</w:t>
            </w:r>
          </w:p>
        </w:tc>
      </w:tr>
      <w:tr>
        <w:trPr/>
        <w:tc>
          <w:tcPr>
            <w:tcW w:w="7410" w:type="dxa"/>
            <w:tcBorders/>
            <w:shd w:fill="CCEEFF" w:val="clear"/>
            <w:vAlign w:val="center"/>
          </w:tcPr>
          <w:p>
            <w:pPr>
              <w:pStyle w:val="TableContents"/>
              <w:bidi w:val="0"/>
              <w:spacing w:before="0" w:after="283"/>
              <w:jc w:val="left"/>
              <w:rPr/>
            </w:pPr>
            <w:r>
              <w:rPr/>
              <w:t>Proceeds from sale of mutual fund</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175" w:type="dxa"/>
            <w:tcBorders>
              <w:bottom w:val="single" w:sz="8" w:space="0" w:color="000000"/>
            </w:tcBorders>
            <w:shd w:fill="CCEEFF" w:val="clear"/>
            <w:tcMar>
              <w:bottom w:w="28" w:type="dxa"/>
            </w:tcMar>
            <w:vAlign w:val="center"/>
          </w:tcPr>
          <w:p>
            <w:pPr>
              <w:pStyle w:val="TableContents"/>
              <w:bidi w:val="0"/>
              <w:spacing w:before="0" w:after="283"/>
              <w:jc w:val="right"/>
              <w:rPr/>
            </w:pPr>
            <w:r>
              <w:rPr/>
              <w:t>112,847</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175" w:type="dxa"/>
            <w:tcBorders>
              <w:bottom w:val="single" w:sz="8" w:space="0" w:color="000000"/>
            </w:tcBorders>
            <w:shd w:fill="CCEEFF" w:val="clear"/>
            <w:tcMar>
              <w:bottom w:w="28" w:type="dxa"/>
            </w:tcMar>
            <w:vAlign w:val="center"/>
          </w:tcPr>
          <w:p>
            <w:pPr>
              <w:pStyle w:val="TableContents"/>
              <w:bidi w:val="0"/>
              <w:spacing w:before="0" w:after="283"/>
              <w:jc w:val="right"/>
              <w:rPr/>
            </w:pPr>
            <w:r>
              <w:rPr/>
              <w:t>309,289</w:t>
            </w:r>
          </w:p>
        </w:tc>
        <w:tc>
          <w:tcPr>
            <w:tcW w:w="110" w:type="dxa"/>
            <w:tcBorders/>
            <w:shd w:fill="CCEEFF" w:val="clear"/>
            <w:vAlign w:val="center"/>
          </w:tcPr>
          <w:p>
            <w:pPr>
              <w:pStyle w:val="TableContents"/>
              <w:bidi w:val="0"/>
              <w:spacing w:before="0" w:after="283"/>
              <w:jc w:val="left"/>
              <w:rPr/>
            </w:pPr>
            <w:r>
              <w:rPr/>
              <w:t> </w:t>
            </w:r>
          </w:p>
        </w:tc>
      </w:tr>
      <w:tr>
        <w:trPr/>
        <w:tc>
          <w:tcPr>
            <w:tcW w:w="7410" w:type="dxa"/>
            <w:tcBorders/>
            <w:shd w:fill="FFFFFF" w:val="clear"/>
            <w:vAlign w:val="center"/>
          </w:tcPr>
          <w:p>
            <w:pPr>
              <w:pStyle w:val="TableContents"/>
              <w:bidi w:val="0"/>
              <w:spacing w:before="0" w:after="283"/>
              <w:jc w:val="left"/>
              <w:rPr>
                <w:b/>
              </w:rPr>
            </w:pPr>
            <w:r>
              <w:rPr>
                <w:b/>
              </w:rPr>
              <w:t>Net cash used in investing activities</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75" w:type="dxa"/>
            <w:tcBorders>
              <w:bottom w:val="single" w:sz="8" w:space="0" w:color="000000"/>
            </w:tcBorders>
            <w:shd w:fill="FFFFFF" w:val="clear"/>
            <w:tcMar>
              <w:bottom w:w="28" w:type="dxa"/>
            </w:tcMar>
            <w:vAlign w:val="center"/>
          </w:tcPr>
          <w:p>
            <w:pPr>
              <w:pStyle w:val="TableContents"/>
              <w:bidi w:val="0"/>
              <w:spacing w:before="0" w:after="283"/>
              <w:jc w:val="right"/>
              <w:rPr>
                <w:b/>
              </w:rPr>
            </w:pPr>
            <w:r>
              <w:rPr>
                <w:b/>
              </w:rPr>
              <w:t>(896,813</w:t>
            </w:r>
          </w:p>
        </w:tc>
        <w:tc>
          <w:tcPr>
            <w:tcW w:w="95" w:type="dxa"/>
            <w:tcBorders/>
            <w:shd w:fill="FFFFFF" w:val="clear"/>
            <w:vAlign w:val="center"/>
          </w:tcPr>
          <w:p>
            <w:pPr>
              <w:pStyle w:val="TableContents"/>
              <w:bidi w:val="0"/>
              <w:spacing w:before="0" w:after="283"/>
              <w:jc w:val="left"/>
              <w:rPr>
                <w:b/>
              </w:rPr>
            </w:pPr>
            <w:r>
              <w:rPr>
                <w:b/>
              </w:rPr>
              <w:t>)</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75" w:type="dxa"/>
            <w:tcBorders>
              <w:bottom w:val="single" w:sz="8" w:space="0" w:color="000000"/>
            </w:tcBorders>
            <w:shd w:fill="FFFFFF" w:val="clear"/>
            <w:tcMar>
              <w:bottom w:w="28" w:type="dxa"/>
            </w:tcMar>
            <w:vAlign w:val="center"/>
          </w:tcPr>
          <w:p>
            <w:pPr>
              <w:pStyle w:val="TableContents"/>
              <w:bidi w:val="0"/>
              <w:spacing w:before="0" w:after="283"/>
              <w:jc w:val="right"/>
              <w:rPr>
                <w:b/>
              </w:rPr>
            </w:pPr>
            <w:r>
              <w:rPr>
                <w:b/>
              </w:rPr>
              <w:t>(115,621</w:t>
            </w:r>
          </w:p>
        </w:tc>
        <w:tc>
          <w:tcPr>
            <w:tcW w:w="110" w:type="dxa"/>
            <w:tcBorders/>
            <w:shd w:fill="FFFFFF" w:val="clear"/>
            <w:vAlign w:val="center"/>
          </w:tcPr>
          <w:p>
            <w:pPr>
              <w:pStyle w:val="TableContents"/>
              <w:bidi w:val="0"/>
              <w:spacing w:before="0" w:after="283"/>
              <w:jc w:val="left"/>
              <w:rPr>
                <w:b/>
              </w:rPr>
            </w:pPr>
            <w:r>
              <w:rPr>
                <w:b/>
              </w:rPr>
              <w:t>)</w:t>
            </w:r>
          </w:p>
        </w:tc>
      </w:tr>
      <w:tr>
        <w:trPr/>
        <w:tc>
          <w:tcPr>
            <w:tcW w:w="7410" w:type="dxa"/>
            <w:tcBorders/>
            <w:shd w:fill="CCEEFF" w:val="clear"/>
            <w:vAlign w:val="center"/>
          </w:tcPr>
          <w:p>
            <w:pPr>
              <w:pStyle w:val="TableContents"/>
              <w:bidi w:val="0"/>
              <w:spacing w:before="0" w:after="283"/>
              <w:jc w:val="left"/>
              <w:rPr>
                <w:b/>
              </w:rPr>
            </w:pPr>
            <w:r>
              <w:rPr>
                <w:b/>
              </w:rPr>
              <w:t>Cash flows from financing activities</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p>
        </w:tc>
      </w:tr>
      <w:tr>
        <w:trPr/>
        <w:tc>
          <w:tcPr>
            <w:tcW w:w="7410" w:type="dxa"/>
            <w:tcBorders/>
            <w:shd w:fill="FFFFFF" w:val="clear"/>
            <w:vAlign w:val="center"/>
          </w:tcPr>
          <w:p>
            <w:pPr>
              <w:pStyle w:val="TableContents"/>
              <w:bidi w:val="0"/>
              <w:spacing w:before="0" w:after="283"/>
              <w:jc w:val="left"/>
              <w:rPr/>
            </w:pPr>
            <w:r>
              <w:rPr/>
              <w:t>Proceeds from issue of ordinary shares</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pPr>
            <w:r>
              <w:rPr/>
              <w:t>6,519,429</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pPr>
            <w:r>
              <w:rPr/>
              <w:t>7,073,913</w:t>
            </w:r>
          </w:p>
        </w:tc>
        <w:tc>
          <w:tcPr>
            <w:tcW w:w="110" w:type="dxa"/>
            <w:tcBorders/>
            <w:shd w:fill="FFFFFF" w:val="clear"/>
            <w:vAlign w:val="center"/>
          </w:tcPr>
          <w:p>
            <w:pPr>
              <w:pStyle w:val="TableContents"/>
              <w:bidi w:val="0"/>
              <w:spacing w:before="0" w:after="283"/>
              <w:jc w:val="left"/>
              <w:rPr/>
            </w:pPr>
            <w:r>
              <w:rPr/>
              <w:t> </w:t>
            </w:r>
          </w:p>
        </w:tc>
      </w:tr>
      <w:tr>
        <w:trPr/>
        <w:tc>
          <w:tcPr>
            <w:tcW w:w="7410" w:type="dxa"/>
            <w:tcBorders/>
            <w:shd w:fill="CCEEFF" w:val="clear"/>
            <w:vAlign w:val="center"/>
          </w:tcPr>
          <w:p>
            <w:pPr>
              <w:pStyle w:val="TableContents"/>
              <w:bidi w:val="0"/>
              <w:spacing w:before="0" w:after="283"/>
              <w:jc w:val="left"/>
              <w:rPr/>
            </w:pPr>
            <w:r>
              <w:rPr/>
              <w:t>Proceeds from issue of equity shares of subsidiary</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6,645,789</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w:t>
            </w:r>
          </w:p>
        </w:tc>
        <w:tc>
          <w:tcPr>
            <w:tcW w:w="110" w:type="dxa"/>
            <w:tcBorders/>
            <w:shd w:fill="CCEEFF" w:val="clear"/>
            <w:vAlign w:val="center"/>
          </w:tcPr>
          <w:p>
            <w:pPr>
              <w:pStyle w:val="TableContents"/>
              <w:bidi w:val="0"/>
              <w:spacing w:before="0" w:after="283"/>
              <w:jc w:val="left"/>
              <w:rPr/>
            </w:pPr>
            <w:r>
              <w:rPr/>
              <w:t> </w:t>
            </w:r>
          </w:p>
        </w:tc>
      </w:tr>
      <w:tr>
        <w:trPr/>
        <w:tc>
          <w:tcPr>
            <w:tcW w:w="7410" w:type="dxa"/>
            <w:tcBorders/>
            <w:shd w:fill="FFFFFF" w:val="clear"/>
            <w:vAlign w:val="center"/>
          </w:tcPr>
          <w:p>
            <w:pPr>
              <w:pStyle w:val="TableContents"/>
              <w:bidi w:val="0"/>
              <w:spacing w:before="0" w:after="283"/>
              <w:jc w:val="left"/>
              <w:rPr/>
            </w:pPr>
            <w:r>
              <w:rPr/>
              <w:t>Net proceeds/(payments) from borrowings</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pPr>
            <w:r>
              <w:rPr/>
              <w:t>8,279,523</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pPr>
            <w:r>
              <w:rPr/>
              <w:t>3,669,290</w:t>
            </w:r>
          </w:p>
        </w:tc>
        <w:tc>
          <w:tcPr>
            <w:tcW w:w="110" w:type="dxa"/>
            <w:tcBorders/>
            <w:shd w:fill="FFFFFF" w:val="clear"/>
            <w:vAlign w:val="center"/>
          </w:tcPr>
          <w:p>
            <w:pPr>
              <w:pStyle w:val="TableContents"/>
              <w:bidi w:val="0"/>
              <w:spacing w:before="0" w:after="283"/>
              <w:jc w:val="left"/>
              <w:rPr/>
            </w:pPr>
            <w:r>
              <w:rPr/>
              <w:t> </w:t>
            </w:r>
          </w:p>
        </w:tc>
      </w:tr>
      <w:tr>
        <w:trPr/>
        <w:tc>
          <w:tcPr>
            <w:tcW w:w="7410" w:type="dxa"/>
            <w:tcBorders/>
            <w:shd w:fill="CCEEFF" w:val="clear"/>
            <w:vAlign w:val="center"/>
          </w:tcPr>
          <w:p>
            <w:pPr>
              <w:pStyle w:val="TableContents"/>
              <w:bidi w:val="0"/>
              <w:spacing w:before="0" w:after="283"/>
              <w:jc w:val="left"/>
              <w:rPr/>
            </w:pPr>
            <w:r>
              <w:rPr/>
              <w:t>Proceeds from forward purchase agreement</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175" w:type="dxa"/>
            <w:tcBorders>
              <w:bottom w:val="single" w:sz="8" w:space="0" w:color="000000"/>
            </w:tcBorders>
            <w:shd w:fill="CCEEFF" w:val="clear"/>
            <w:tcMar>
              <w:bottom w:w="28" w:type="dxa"/>
            </w:tcM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175" w:type="dxa"/>
            <w:tcBorders>
              <w:bottom w:val="single" w:sz="8" w:space="0" w:color="000000"/>
            </w:tcBorders>
            <w:shd w:fill="CCEEFF" w:val="clear"/>
            <w:tcMar>
              <w:bottom w:w="28" w:type="dxa"/>
            </w:tcMar>
            <w:vAlign w:val="center"/>
          </w:tcPr>
          <w:p>
            <w:pPr>
              <w:pStyle w:val="TableContents"/>
              <w:bidi w:val="0"/>
              <w:spacing w:before="0" w:after="283"/>
              <w:jc w:val="right"/>
              <w:rPr/>
            </w:pPr>
            <w:r>
              <w:rPr/>
              <w:t>1,000,000</w:t>
            </w:r>
          </w:p>
        </w:tc>
        <w:tc>
          <w:tcPr>
            <w:tcW w:w="110" w:type="dxa"/>
            <w:tcBorders/>
            <w:shd w:fill="CCEEFF" w:val="clear"/>
            <w:vAlign w:val="center"/>
          </w:tcPr>
          <w:p>
            <w:pPr>
              <w:pStyle w:val="TableContents"/>
              <w:bidi w:val="0"/>
              <w:spacing w:before="0" w:after="283"/>
              <w:jc w:val="left"/>
              <w:rPr/>
            </w:pPr>
            <w:r>
              <w:rPr/>
              <w:t> </w:t>
            </w:r>
          </w:p>
        </w:tc>
      </w:tr>
      <w:tr>
        <w:trPr/>
        <w:tc>
          <w:tcPr>
            <w:tcW w:w="7410" w:type="dxa"/>
            <w:tcBorders/>
            <w:shd w:fill="FFFFFF" w:val="clear"/>
            <w:vAlign w:val="center"/>
          </w:tcPr>
          <w:p>
            <w:pPr>
              <w:pStyle w:val="TableContents"/>
              <w:bidi w:val="0"/>
              <w:spacing w:before="0" w:after="283"/>
              <w:jc w:val="left"/>
              <w:rPr>
                <w:b/>
              </w:rPr>
            </w:pPr>
            <w:r>
              <w:rPr>
                <w:b/>
              </w:rPr>
              <w:t>Net cash generated from financing activities</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75" w:type="dxa"/>
            <w:tcBorders>
              <w:bottom w:val="single" w:sz="8" w:space="0" w:color="000000"/>
            </w:tcBorders>
            <w:shd w:fill="FFFFFF" w:val="clear"/>
            <w:tcMar>
              <w:bottom w:w="28" w:type="dxa"/>
            </w:tcMar>
            <w:vAlign w:val="center"/>
          </w:tcPr>
          <w:p>
            <w:pPr>
              <w:pStyle w:val="TableContents"/>
              <w:bidi w:val="0"/>
              <w:spacing w:before="0" w:after="283"/>
              <w:jc w:val="right"/>
              <w:rPr>
                <w:b/>
              </w:rPr>
            </w:pPr>
            <w:r>
              <w:rPr>
                <w:b/>
              </w:rPr>
              <w:t>21,444,741</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75" w:type="dxa"/>
            <w:tcBorders>
              <w:bottom w:val="single" w:sz="8" w:space="0" w:color="000000"/>
            </w:tcBorders>
            <w:shd w:fill="FFFFFF" w:val="clear"/>
            <w:tcMar>
              <w:bottom w:w="28" w:type="dxa"/>
            </w:tcMar>
            <w:vAlign w:val="center"/>
          </w:tcPr>
          <w:p>
            <w:pPr>
              <w:pStyle w:val="TableContents"/>
              <w:bidi w:val="0"/>
              <w:spacing w:before="0" w:after="283"/>
              <w:jc w:val="right"/>
              <w:rPr>
                <w:b/>
              </w:rPr>
            </w:pPr>
            <w:r>
              <w:rPr>
                <w:b/>
              </w:rPr>
              <w:t>11,743,203</w:t>
            </w:r>
          </w:p>
        </w:tc>
        <w:tc>
          <w:tcPr>
            <w:tcW w:w="110" w:type="dxa"/>
            <w:tcBorders/>
            <w:shd w:fill="FFFFFF" w:val="clear"/>
            <w:vAlign w:val="center"/>
          </w:tcPr>
          <w:p>
            <w:pPr>
              <w:pStyle w:val="TableContents"/>
              <w:bidi w:val="0"/>
              <w:spacing w:before="0" w:after="283"/>
              <w:jc w:val="left"/>
              <w:rPr/>
            </w:pPr>
            <w:r>
              <w:rPr/>
              <w:t> </w:t>
            </w:r>
          </w:p>
        </w:tc>
      </w:tr>
      <w:tr>
        <w:trPr/>
        <w:tc>
          <w:tcPr>
            <w:tcW w:w="7410" w:type="dxa"/>
            <w:tcBorders/>
            <w:shd w:fill="CCEEFF" w:val="clear"/>
            <w:vAlign w:val="center"/>
          </w:tcPr>
          <w:p>
            <w:pPr>
              <w:pStyle w:val="TableContents"/>
              <w:bidi w:val="0"/>
              <w:spacing w:before="0" w:after="283"/>
              <w:jc w:val="left"/>
              <w:rPr/>
            </w:pPr>
            <w:r>
              <w:rPr/>
              <w:t>Effect of exchange rate changes on cash and cash equivalents</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175" w:type="dxa"/>
            <w:tcBorders>
              <w:bottom w:val="single" w:sz="8" w:space="0" w:color="000000"/>
            </w:tcBorders>
            <w:shd w:fill="CCEEFF" w:val="clear"/>
            <w:tcMar>
              <w:bottom w:w="28" w:type="dxa"/>
            </w:tcM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175" w:type="dxa"/>
            <w:tcBorders>
              <w:bottom w:val="single" w:sz="8" w:space="0" w:color="000000"/>
            </w:tcBorders>
            <w:shd w:fill="CCEEFF" w:val="clear"/>
            <w:tcMar>
              <w:bottom w:w="28" w:type="dxa"/>
            </w:tcMar>
            <w:vAlign w:val="center"/>
          </w:tcPr>
          <w:p>
            <w:pPr>
              <w:pStyle w:val="TableContents"/>
              <w:bidi w:val="0"/>
              <w:spacing w:before="0" w:after="283"/>
              <w:jc w:val="right"/>
              <w:rPr/>
            </w:pPr>
            <w:r>
              <w:rPr/>
              <w:t>3,168</w:t>
            </w:r>
          </w:p>
        </w:tc>
        <w:tc>
          <w:tcPr>
            <w:tcW w:w="110" w:type="dxa"/>
            <w:tcBorders/>
            <w:shd w:fill="CCEEFF" w:val="clear"/>
            <w:vAlign w:val="center"/>
          </w:tcPr>
          <w:p>
            <w:pPr>
              <w:pStyle w:val="TableContents"/>
              <w:bidi w:val="0"/>
              <w:spacing w:before="0" w:after="283"/>
              <w:jc w:val="left"/>
              <w:rPr/>
            </w:pPr>
            <w:r>
              <w:rPr/>
              <w:t> </w:t>
            </w:r>
          </w:p>
        </w:tc>
      </w:tr>
      <w:tr>
        <w:trPr/>
        <w:tc>
          <w:tcPr>
            <w:tcW w:w="7410" w:type="dxa"/>
            <w:tcBorders/>
            <w:shd w:fill="FFFFFF" w:val="clear"/>
            <w:vAlign w:val="center"/>
          </w:tcPr>
          <w:p>
            <w:pPr>
              <w:pStyle w:val="TableContents"/>
              <w:bidi w:val="0"/>
              <w:spacing w:before="0" w:after="283"/>
              <w:jc w:val="left"/>
              <w:rPr>
                <w:b/>
              </w:rPr>
            </w:pPr>
            <w:r>
              <w:rPr>
                <w:b/>
              </w:rPr>
              <w:t>Net (decrease)/increase in cash and cash equivalents (including restricted cash)</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b/>
              </w:rPr>
            </w:pPr>
            <w:r>
              <w:rPr>
                <w:b/>
              </w:rPr>
              <w:t>276,527</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b/>
              </w:rPr>
            </w:pPr>
            <w:r>
              <w:rPr>
                <w:b/>
              </w:rPr>
              <w:t>(6,511,448</w:t>
            </w:r>
          </w:p>
        </w:tc>
        <w:tc>
          <w:tcPr>
            <w:tcW w:w="110" w:type="dxa"/>
            <w:tcBorders/>
            <w:shd w:fill="FFFFFF" w:val="clear"/>
            <w:vAlign w:val="center"/>
          </w:tcPr>
          <w:p>
            <w:pPr>
              <w:pStyle w:val="TableContents"/>
              <w:bidi w:val="0"/>
              <w:spacing w:before="0" w:after="283"/>
              <w:jc w:val="left"/>
              <w:rPr>
                <w:b/>
              </w:rPr>
            </w:pPr>
            <w:r>
              <w:rPr>
                <w:b/>
              </w:rPr>
              <w:t>)</w:t>
            </w:r>
          </w:p>
        </w:tc>
      </w:tr>
      <w:tr>
        <w:trPr/>
        <w:tc>
          <w:tcPr>
            <w:tcW w:w="7410" w:type="dxa"/>
            <w:tcBorders/>
            <w:shd w:fill="CCEEFF" w:val="clear"/>
            <w:vAlign w:val="center"/>
          </w:tcPr>
          <w:p>
            <w:pPr>
              <w:pStyle w:val="TableContents"/>
              <w:bidi w:val="0"/>
              <w:spacing w:before="0" w:after="283"/>
              <w:jc w:val="left"/>
              <w:rPr/>
            </w:pPr>
            <w:r>
              <w:rPr/>
              <w:t>Cash acquired in business combination</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1,470,453</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w:t>
            </w:r>
          </w:p>
        </w:tc>
        <w:tc>
          <w:tcPr>
            <w:tcW w:w="110" w:type="dxa"/>
            <w:tcBorders/>
            <w:shd w:fill="CCEEFF" w:val="clear"/>
            <w:vAlign w:val="center"/>
          </w:tcPr>
          <w:p>
            <w:pPr>
              <w:pStyle w:val="TableContents"/>
              <w:bidi w:val="0"/>
              <w:spacing w:before="0" w:after="283"/>
              <w:jc w:val="left"/>
              <w:rPr/>
            </w:pPr>
            <w:r>
              <w:rPr/>
              <w:t> </w:t>
            </w:r>
          </w:p>
        </w:tc>
      </w:tr>
      <w:tr>
        <w:trPr/>
        <w:tc>
          <w:tcPr>
            <w:tcW w:w="7410" w:type="dxa"/>
            <w:tcBorders/>
            <w:shd w:fill="FFFFFF" w:val="clear"/>
            <w:vAlign w:val="center"/>
          </w:tcPr>
          <w:p>
            <w:pPr>
              <w:pStyle w:val="TableContents"/>
              <w:bidi w:val="0"/>
              <w:spacing w:before="0" w:after="283"/>
              <w:jc w:val="left"/>
              <w:rPr/>
            </w:pPr>
            <w:r>
              <w:rPr/>
              <w:t>Cash and cash equivalents at the beginning of the period (including restricted cash)</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75" w:type="dxa"/>
            <w:tcBorders>
              <w:bottom w:val="single" w:sz="8" w:space="0" w:color="000000"/>
            </w:tcBorders>
            <w:shd w:fill="FFFFFF" w:val="clear"/>
            <w:tcMar>
              <w:bottom w:w="28" w:type="dxa"/>
            </w:tcMar>
            <w:vAlign w:val="center"/>
          </w:tcPr>
          <w:p>
            <w:pPr>
              <w:pStyle w:val="TableContents"/>
              <w:bidi w:val="0"/>
              <w:spacing w:before="0" w:after="283"/>
              <w:jc w:val="right"/>
              <w:rPr/>
            </w:pPr>
            <w:r>
              <w:rPr/>
              <w:t>5,053,640</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75" w:type="dxa"/>
            <w:tcBorders>
              <w:bottom w:val="single" w:sz="8" w:space="0" w:color="000000"/>
            </w:tcBorders>
            <w:shd w:fill="FFFFFF" w:val="clear"/>
            <w:tcMar>
              <w:bottom w:w="28" w:type="dxa"/>
            </w:tcMar>
            <w:vAlign w:val="center"/>
          </w:tcPr>
          <w:p>
            <w:pPr>
              <w:pStyle w:val="TableContents"/>
              <w:bidi w:val="0"/>
              <w:spacing w:before="0" w:after="283"/>
              <w:jc w:val="right"/>
              <w:rPr/>
            </w:pPr>
            <w:r>
              <w:rPr/>
              <w:t>11,565,088</w:t>
            </w:r>
          </w:p>
        </w:tc>
        <w:tc>
          <w:tcPr>
            <w:tcW w:w="110" w:type="dxa"/>
            <w:tcBorders/>
            <w:shd w:fill="FFFFFF" w:val="clear"/>
            <w:vAlign w:val="center"/>
          </w:tcPr>
          <w:p>
            <w:pPr>
              <w:pStyle w:val="TableContents"/>
              <w:bidi w:val="0"/>
              <w:spacing w:before="0" w:after="283"/>
              <w:jc w:val="left"/>
              <w:rPr/>
            </w:pPr>
            <w:r>
              <w:rPr/>
              <w:t> </w:t>
            </w:r>
          </w:p>
        </w:tc>
      </w:tr>
      <w:tr>
        <w:trPr/>
        <w:tc>
          <w:tcPr>
            <w:tcW w:w="7410" w:type="dxa"/>
            <w:tcBorders/>
            <w:shd w:fill="CCEEFF" w:val="clear"/>
            <w:vAlign w:val="center"/>
          </w:tcPr>
          <w:p>
            <w:pPr>
              <w:pStyle w:val="TableContents"/>
              <w:bidi w:val="0"/>
              <w:spacing w:before="0" w:after="283"/>
              <w:jc w:val="left"/>
              <w:rPr>
                <w:b/>
              </w:rPr>
            </w:pPr>
            <w:r>
              <w:rPr>
                <w:b/>
              </w:rPr>
              <w:t>Cash and cash equivalents at the end of the period (including restricted cash)</w:t>
            </w:r>
          </w:p>
        </w:tc>
        <w:tc>
          <w:tcPr>
            <w:tcW w:w="60" w:type="dxa"/>
            <w:tcBorders/>
            <w:shd w:fill="CCEEFF" w:val="clear"/>
            <w:vAlign w:val="center"/>
          </w:tcPr>
          <w:p>
            <w:pPr>
              <w:pStyle w:val="TableContents"/>
              <w:bidi w:val="0"/>
              <w:spacing w:before="0" w:after="283"/>
              <w:jc w:val="left"/>
              <w:rPr/>
            </w:pPr>
            <w:r>
              <w:rPr/>
              <w:t> </w:t>
            </w:r>
          </w:p>
        </w:tc>
        <w:tc>
          <w:tcPr>
            <w:tcW w:w="6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1175" w:type="dxa"/>
            <w:tcBorders>
              <w:bottom w:val="double" w:sz="6" w:space="0" w:color="000000"/>
            </w:tcBorders>
            <w:shd w:fill="CCEEFF" w:val="clear"/>
            <w:tcMar>
              <w:bottom w:w="28" w:type="dxa"/>
            </w:tcMar>
            <w:vAlign w:val="center"/>
          </w:tcPr>
          <w:p>
            <w:pPr>
              <w:pStyle w:val="TableContents"/>
              <w:bidi w:val="0"/>
              <w:spacing w:before="0" w:after="283"/>
              <w:jc w:val="right"/>
              <w:rPr>
                <w:b/>
              </w:rPr>
            </w:pPr>
            <w:r>
              <w:rPr>
                <w:b/>
              </w:rPr>
              <w:t>6,800,620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1175" w:type="dxa"/>
            <w:tcBorders>
              <w:bottom w:val="double" w:sz="6" w:space="0" w:color="000000"/>
            </w:tcBorders>
            <w:shd w:fill="CCEEFF" w:val="clear"/>
            <w:tcMar>
              <w:bottom w:w="28" w:type="dxa"/>
            </w:tcMar>
            <w:vAlign w:val="center"/>
          </w:tcPr>
          <w:p>
            <w:pPr>
              <w:pStyle w:val="TableContents"/>
              <w:bidi w:val="0"/>
              <w:spacing w:before="0" w:after="283"/>
              <w:jc w:val="right"/>
              <w:rPr>
                <w:b/>
              </w:rPr>
            </w:pPr>
            <w:r>
              <w:rPr>
                <w:b/>
              </w:rPr>
              <w:t>5,053,640</w:t>
            </w:r>
          </w:p>
        </w:tc>
        <w:tc>
          <w:tcPr>
            <w:tcW w:w="110" w:type="dxa"/>
            <w:tcBorders/>
            <w:shd w:fill="CCEEFF" w:val="clear"/>
            <w:vAlign w:val="center"/>
          </w:tcPr>
          <w:p>
            <w:pPr>
              <w:pStyle w:val="TableContents"/>
              <w:bidi w:val="0"/>
              <w:spacing w:before="0" w:after="283"/>
              <w:jc w:val="left"/>
              <w:rPr/>
            </w:pPr>
            <w:r>
              <w:rPr/>
              <w:t> </w:t>
            </w:r>
          </w:p>
        </w:tc>
      </w:tr>
      <w:tr>
        <w:trPr/>
        <w:tc>
          <w:tcPr>
            <w:tcW w:w="7410"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p>
        </w:tc>
      </w:tr>
      <w:tr>
        <w:trPr/>
        <w:tc>
          <w:tcPr>
            <w:tcW w:w="7410" w:type="dxa"/>
            <w:tcBorders/>
            <w:shd w:fill="CCEEFF" w:val="clear"/>
            <w:vAlign w:val="center"/>
          </w:tcPr>
          <w:p>
            <w:pPr>
              <w:pStyle w:val="TableContents"/>
              <w:bidi w:val="0"/>
              <w:spacing w:before="0" w:after="283"/>
              <w:jc w:val="left"/>
              <w:rPr>
                <w:b/>
              </w:rPr>
            </w:pPr>
            <w:r>
              <w:rPr>
                <w:b/>
              </w:rPr>
              <w:t>Reconciliation of cash and cash equivalents</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p>
        </w:tc>
      </w:tr>
      <w:tr>
        <w:trPr/>
        <w:tc>
          <w:tcPr>
            <w:tcW w:w="7410" w:type="dxa"/>
            <w:tcBorders/>
            <w:shd w:fill="FFFFFF" w:val="clear"/>
            <w:vAlign w:val="center"/>
          </w:tcPr>
          <w:p>
            <w:pPr>
              <w:pStyle w:val="TableContents"/>
              <w:bidi w:val="0"/>
              <w:spacing w:before="0" w:after="283"/>
              <w:jc w:val="left"/>
              <w:rPr/>
            </w:pPr>
            <w:r>
              <w:rPr/>
              <w:t>Cash and cash equivalents</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pPr>
            <w:r>
              <w:rPr/>
              <w:t>6,578,594</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pPr>
            <w:r>
              <w:rPr/>
              <w:t>4,836,576</w:t>
            </w:r>
          </w:p>
        </w:tc>
        <w:tc>
          <w:tcPr>
            <w:tcW w:w="110" w:type="dxa"/>
            <w:tcBorders/>
            <w:shd w:fill="FFFFFF" w:val="clear"/>
            <w:vAlign w:val="center"/>
          </w:tcPr>
          <w:p>
            <w:pPr>
              <w:pStyle w:val="TableContents"/>
              <w:bidi w:val="0"/>
              <w:spacing w:before="0" w:after="283"/>
              <w:jc w:val="left"/>
              <w:rPr/>
            </w:pPr>
            <w:r>
              <w:rPr/>
              <w:t> </w:t>
            </w:r>
          </w:p>
        </w:tc>
      </w:tr>
      <w:tr>
        <w:trPr/>
        <w:tc>
          <w:tcPr>
            <w:tcW w:w="7410" w:type="dxa"/>
            <w:tcBorders/>
            <w:shd w:fill="CCEEFF" w:val="clear"/>
            <w:vAlign w:val="center"/>
          </w:tcPr>
          <w:p>
            <w:pPr>
              <w:pStyle w:val="TableContents"/>
              <w:bidi w:val="0"/>
              <w:spacing w:before="0" w:after="283"/>
              <w:jc w:val="left"/>
              <w:rPr/>
            </w:pPr>
            <w:r>
              <w:rPr/>
              <w:t>Restricted cash</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175" w:type="dxa"/>
            <w:tcBorders>
              <w:bottom w:val="single" w:sz="8" w:space="0" w:color="000000"/>
            </w:tcBorders>
            <w:shd w:fill="CCEEFF" w:val="clear"/>
            <w:tcMar>
              <w:bottom w:w="28" w:type="dxa"/>
            </w:tcMar>
            <w:vAlign w:val="center"/>
          </w:tcPr>
          <w:p>
            <w:pPr>
              <w:pStyle w:val="TableContents"/>
              <w:bidi w:val="0"/>
              <w:spacing w:before="0" w:after="283"/>
              <w:jc w:val="right"/>
              <w:rPr/>
            </w:pPr>
            <w:r>
              <w:rPr/>
              <w:t>222,026</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175" w:type="dxa"/>
            <w:tcBorders>
              <w:bottom w:val="single" w:sz="8" w:space="0" w:color="000000"/>
            </w:tcBorders>
            <w:shd w:fill="CCEEFF" w:val="clear"/>
            <w:tcMar>
              <w:bottom w:w="28" w:type="dxa"/>
            </w:tcMar>
            <w:vAlign w:val="center"/>
          </w:tcPr>
          <w:p>
            <w:pPr>
              <w:pStyle w:val="TableContents"/>
              <w:bidi w:val="0"/>
              <w:spacing w:before="0" w:after="283"/>
              <w:jc w:val="right"/>
              <w:rPr/>
            </w:pPr>
            <w:r>
              <w:rPr/>
              <w:t>217,064</w:t>
            </w:r>
          </w:p>
        </w:tc>
        <w:tc>
          <w:tcPr>
            <w:tcW w:w="110" w:type="dxa"/>
            <w:tcBorders/>
            <w:shd w:fill="CCEEFF" w:val="clear"/>
            <w:vAlign w:val="center"/>
          </w:tcPr>
          <w:p>
            <w:pPr>
              <w:pStyle w:val="TableContents"/>
              <w:bidi w:val="0"/>
              <w:spacing w:before="0" w:after="283"/>
              <w:jc w:val="left"/>
              <w:rPr/>
            </w:pPr>
            <w:r>
              <w:rPr/>
              <w:t> </w:t>
            </w:r>
          </w:p>
        </w:tc>
      </w:tr>
      <w:tr>
        <w:trPr/>
        <w:tc>
          <w:tcPr>
            <w:tcW w:w="7410" w:type="dxa"/>
            <w:tcBorders/>
            <w:shd w:fill="FFFFFF" w:val="clear"/>
            <w:vAlign w:val="center"/>
          </w:tcPr>
          <w:p>
            <w:pPr>
              <w:pStyle w:val="TableContents"/>
              <w:bidi w:val="0"/>
              <w:spacing w:before="0" w:after="283"/>
              <w:jc w:val="left"/>
              <w:rPr>
                <w:b/>
              </w:rPr>
            </w:pPr>
            <w:r>
              <w:rPr>
                <w:b/>
              </w:rPr>
              <w:t>Total cash and cash equivalents</w:t>
            </w:r>
          </w:p>
        </w:tc>
        <w:tc>
          <w:tcPr>
            <w:tcW w:w="60" w:type="dxa"/>
            <w:tcBorders/>
            <w:shd w:fill="FFFFFF" w:val="clear"/>
            <w:vAlign w:val="center"/>
          </w:tcPr>
          <w:p>
            <w:pPr>
              <w:pStyle w:val="TableContents"/>
              <w:bidi w:val="0"/>
              <w:spacing w:before="0" w:after="283"/>
              <w:jc w:val="left"/>
              <w:rPr/>
            </w:pPr>
            <w:r>
              <w:rPr/>
              <w:t> </w:t>
            </w:r>
          </w:p>
        </w:tc>
        <w:tc>
          <w:tcPr>
            <w:tcW w:w="60"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1175" w:type="dxa"/>
            <w:tcBorders>
              <w:bottom w:val="double" w:sz="6" w:space="0" w:color="000000"/>
            </w:tcBorders>
            <w:shd w:fill="FFFFFF" w:val="clear"/>
            <w:tcMar>
              <w:bottom w:w="28" w:type="dxa"/>
            </w:tcMar>
            <w:vAlign w:val="center"/>
          </w:tcPr>
          <w:p>
            <w:pPr>
              <w:pStyle w:val="TableContents"/>
              <w:bidi w:val="0"/>
              <w:spacing w:before="0" w:after="283"/>
              <w:jc w:val="right"/>
              <w:rPr>
                <w:b/>
              </w:rPr>
            </w:pPr>
            <w:r>
              <w:rPr>
                <w:b/>
              </w:rPr>
              <w:t>6,800,620</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1175" w:type="dxa"/>
            <w:tcBorders>
              <w:bottom w:val="double" w:sz="6" w:space="0" w:color="000000"/>
            </w:tcBorders>
            <w:shd w:fill="FFFFFF" w:val="clear"/>
            <w:tcMar>
              <w:bottom w:w="28" w:type="dxa"/>
            </w:tcMar>
            <w:vAlign w:val="center"/>
          </w:tcPr>
          <w:p>
            <w:pPr>
              <w:pStyle w:val="TableContents"/>
              <w:bidi w:val="0"/>
              <w:spacing w:before="0" w:after="283"/>
              <w:jc w:val="right"/>
              <w:rPr>
                <w:b/>
              </w:rPr>
            </w:pPr>
            <w:r>
              <w:rPr>
                <w:b/>
              </w:rPr>
              <w:t>5,053,640</w:t>
            </w:r>
          </w:p>
        </w:tc>
        <w:tc>
          <w:tcPr>
            <w:tcW w:w="110" w:type="dxa"/>
            <w:tcBorders/>
            <w:shd w:fill="FFFFFF" w:val="clear"/>
            <w:vAlign w:val="center"/>
          </w:tcPr>
          <w:p>
            <w:pPr>
              <w:pStyle w:val="TableContents"/>
              <w:bidi w:val="0"/>
              <w:spacing w:before="0" w:after="283"/>
              <w:jc w:val="left"/>
              <w:rPr/>
            </w:pPr>
            <w:r>
              <w:rPr/>
              <w:t> </w:t>
            </w:r>
          </w:p>
        </w:tc>
      </w:tr>
      <w:tr>
        <w:trPr/>
        <w:tc>
          <w:tcPr>
            <w:tcW w:w="741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p>
        </w:tc>
      </w:tr>
      <w:tr>
        <w:trPr/>
        <w:tc>
          <w:tcPr>
            <w:tcW w:w="7410" w:type="dxa"/>
            <w:tcBorders/>
            <w:shd w:fill="FFFFFF" w:val="clear"/>
            <w:vAlign w:val="center"/>
          </w:tcPr>
          <w:p>
            <w:pPr>
              <w:pStyle w:val="TableContents"/>
              <w:bidi w:val="0"/>
              <w:spacing w:before="0" w:after="283"/>
              <w:jc w:val="left"/>
              <w:rPr>
                <w:b/>
              </w:rPr>
            </w:pPr>
            <w:r>
              <w:rPr>
                <w:b/>
              </w:rPr>
              <w:t>Supplemental disclosure of cash flow information</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p>
        </w:tc>
      </w:tr>
      <w:tr>
        <w:trPr/>
        <w:tc>
          <w:tcPr>
            <w:tcW w:w="7410" w:type="dxa"/>
            <w:tcBorders/>
            <w:shd w:fill="CCEEFF" w:val="clear"/>
            <w:vAlign w:val="center"/>
          </w:tcPr>
          <w:p>
            <w:pPr>
              <w:pStyle w:val="TableContents"/>
              <w:bidi w:val="0"/>
              <w:spacing w:before="0" w:after="283"/>
              <w:jc w:val="left"/>
              <w:rPr/>
            </w:pPr>
            <w:r>
              <w:rPr/>
              <w:t>Cash paid for interest, net of amounts capitalized</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2,742,101</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1,318,139</w:t>
            </w:r>
          </w:p>
        </w:tc>
        <w:tc>
          <w:tcPr>
            <w:tcW w:w="110" w:type="dxa"/>
            <w:tcBorders/>
            <w:shd w:fill="CCEEFF" w:val="clear"/>
            <w:vAlign w:val="center"/>
          </w:tcPr>
          <w:p>
            <w:pPr>
              <w:pStyle w:val="TableContents"/>
              <w:bidi w:val="0"/>
              <w:spacing w:before="0" w:after="283"/>
              <w:jc w:val="left"/>
              <w:rPr/>
            </w:pPr>
            <w:r>
              <w:rPr/>
              <w:t> </w:t>
            </w:r>
          </w:p>
        </w:tc>
      </w:tr>
      <w:tr>
        <w:trPr/>
        <w:tc>
          <w:tcPr>
            <w:tcW w:w="7410" w:type="dxa"/>
            <w:tcBorders/>
            <w:shd w:fill="FFFFFF" w:val="clear"/>
            <w:vAlign w:val="center"/>
          </w:tcPr>
          <w:p>
            <w:pPr>
              <w:pStyle w:val="TableContents"/>
              <w:bidi w:val="0"/>
              <w:spacing w:before="0" w:after="283"/>
              <w:jc w:val="left"/>
              <w:rPr>
                <w:b/>
              </w:rPr>
            </w:pPr>
            <w:r>
              <w:rPr>
                <w:b/>
              </w:rPr>
              <w:t>Non-cash investing and financing activities</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p>
        </w:tc>
      </w:tr>
      <w:tr>
        <w:trPr/>
        <w:tc>
          <w:tcPr>
            <w:tcW w:w="7410" w:type="dxa"/>
            <w:tcBorders/>
            <w:shd w:fill="CCEEFF" w:val="clear"/>
            <w:vAlign w:val="center"/>
          </w:tcPr>
          <w:p>
            <w:pPr>
              <w:pStyle w:val="TableContents"/>
              <w:bidi w:val="0"/>
              <w:spacing w:before="0" w:after="283"/>
              <w:jc w:val="left"/>
              <w:rPr/>
            </w:pPr>
            <w:r>
              <w:rPr/>
              <w:t>Consideration payable in connection with acquisitions</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6,407,380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8,376,253</w:t>
            </w:r>
          </w:p>
        </w:tc>
        <w:tc>
          <w:tcPr>
            <w:tcW w:w="110" w:type="dxa"/>
            <w:tcBorders/>
            <w:shd w:fill="CCEEFF" w:val="clear"/>
            <w:vAlign w:val="center"/>
          </w:tcPr>
          <w:p>
            <w:pPr>
              <w:pStyle w:val="TableContents"/>
              <w:bidi w:val="0"/>
              <w:spacing w:before="0" w:after="283"/>
              <w:jc w:val="left"/>
              <w:rPr/>
            </w:pPr>
            <w:r>
              <w:rPr/>
              <w:t> </w:t>
            </w:r>
          </w:p>
        </w:tc>
      </w:tr>
      <w:tr>
        <w:trPr/>
        <w:tc>
          <w:tcPr>
            <w:tcW w:w="7410" w:type="dxa"/>
            <w:tcBorders/>
            <w:shd w:fill="FFFFFF" w:val="clear"/>
            <w:vAlign w:val="center"/>
          </w:tcPr>
          <w:p>
            <w:pPr>
              <w:pStyle w:val="TableContents"/>
              <w:bidi w:val="0"/>
              <w:spacing w:before="0" w:after="283"/>
              <w:jc w:val="left"/>
              <w:rPr/>
            </w:pPr>
            <w:r>
              <w:rPr/>
              <w:t>Interest accrued on borrowings</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pPr>
            <w:r>
              <w:rPr/>
              <w:t>3,659,399</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pPr>
            <w:r>
              <w:rPr/>
              <w:t>2,123,633</w:t>
            </w:r>
          </w:p>
        </w:tc>
        <w:tc>
          <w:tcPr>
            <w:tcW w:w="110" w:type="dxa"/>
            <w:tcBorders/>
            <w:shd w:fill="FFFFFF" w:val="clear"/>
            <w:vAlign w:val="center"/>
          </w:tcPr>
          <w:p>
            <w:pPr>
              <w:pStyle w:val="TableContents"/>
              <w:bidi w:val="0"/>
              <w:spacing w:before="0" w:after="283"/>
              <w:jc w:val="left"/>
              <w:rPr/>
            </w:pPr>
            <w:r>
              <w:rPr/>
              <w:t> </w:t>
            </w:r>
          </w:p>
        </w:tc>
      </w:tr>
    </w:tbl>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accompanying notes are an integral part of these consolidated financial statements.</w:t>
      </w:r>
    </w:p>
    <w:p>
      <w:pPr>
        <w:pStyle w:val="TextBody"/>
        <w:bidi w:val="0"/>
        <w:spacing w:before="0" w:after="0"/>
        <w:jc w:val="center"/>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right"/>
              <w:rPr/>
            </w:pPr>
            <w:r>
              <w:rPr/>
              <w:t> </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right"/>
              <w:rPr/>
            </w:pPr>
            <w:r>
              <w:rPr/>
              <w:t> </w:t>
            </w:r>
          </w:p>
        </w:tc>
      </w:tr>
    </w:tbl>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Non-GAAP Financial Measures</w:t>
      </w:r>
      <w:r>
        <w:rPr>
          <w:rFonts w:ascii="Times New Roman;Times;Serif" w:hAnsi="Times New Roman;Times;Serif"/>
          <w:b w:val="false"/>
          <w:i w:val="false"/>
          <w:caps w:val="false"/>
          <w:smallCaps w:val="false"/>
          <w:sz w:val="20"/>
        </w:rPr>
        <w:t xml:space="preserve"> This press release includes Adjusted Earnings Before Interest, Tax, Depreciation and Amortization (Adjusted EBITDA), a non-GAAP financial measure which excludes the impact of finance costs, taxes, depreciation and amortization and certain other items from reported net profit or loss. We believe that Adjusted EBITDA aids investors by providing an operating profit/loss without the impact of non-cash depreciation and amortization and certain other items to help clarify sustainability and trends affecting the business. For comparability of reporting, management considers non-GAAP measures in conjunction with U.S. GAAP financial results in evaluating business performance. Adjusted EBITDA should not be considered a substitute for, or superior to, the measures of financial performance prepared in accordance with U.S. GAAP. In addition, Adjusted EBITDA does not purport to represent cash flow provided by, or used for, operating activities in accordance with GAAP and should not be used as a measure of liquidity.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Non-GAAP financial measures have limitations as analytical tools and should not be considered in isolation or as substitutes for financial information presented under GAAP. There are a number of limitations related to the use of non-GAAP financial measures versus comparable financial measures determined under GAAP. For example, other companies in our industry may calculate these non-GAAP financial measures differently or may use other measures to evaluate their performance. These limitations could reduce the usefulness of these non-GAAP financial measures as analytical tools. Investors are encouraged to review the related GAAP financial measures and the reconciliations of these non-GAAP financial measures to their most directly comparable GAAP financial measures and to not rely on any single financial measure to evaluate our business.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tables reconcile our net loss reported in accordance with U.S. GAAP to Adjusted EBITDA:</w:t>
      </w:r>
    </w:p>
    <w:p>
      <w:pPr>
        <w:pStyle w:val="TextBody"/>
        <w:bidi w:val="0"/>
        <w:spacing w:before="0" w:after="0"/>
        <w:ind w:left="0" w:right="0" w:hanging="0"/>
        <w:jc w:val="both"/>
        <w:rPr>
          <w:caps w:val="false"/>
          <w:smallCaps w:val="false"/>
        </w:rPr>
      </w:pPr>
      <w:r>
        <w:rPr>
          <w:caps w:val="false"/>
          <w:smallCaps w:val="false"/>
        </w:rPr>
        <w:t> </w:t>
      </w:r>
    </w:p>
    <w:tbl>
      <w:tblPr>
        <w:tblW w:w="10065" w:type="dxa"/>
        <w:jc w:val="left"/>
        <w:tblInd w:w="0" w:type="dxa"/>
        <w:tblLayout w:type="fixed"/>
        <w:tblCellMar>
          <w:top w:w="0" w:type="dxa"/>
          <w:left w:w="0" w:type="dxa"/>
          <w:bottom w:w="0" w:type="dxa"/>
          <w:right w:w="0" w:type="dxa"/>
        </w:tblCellMar>
      </w:tblPr>
      <w:tblGrid>
        <w:gridCol w:w="5360"/>
        <w:gridCol w:w="60"/>
        <w:gridCol w:w="60"/>
        <w:gridCol w:w="1055"/>
        <w:gridCol w:w="95"/>
        <w:gridCol w:w="60"/>
        <w:gridCol w:w="60"/>
        <w:gridCol w:w="1055"/>
        <w:gridCol w:w="95"/>
        <w:gridCol w:w="60"/>
        <w:gridCol w:w="60"/>
        <w:gridCol w:w="1055"/>
        <w:gridCol w:w="95"/>
        <w:gridCol w:w="60"/>
        <w:gridCol w:w="60"/>
        <w:gridCol w:w="500"/>
        <w:gridCol w:w="275"/>
      </w:tblGrid>
      <w:tr>
        <w:trPr/>
        <w:tc>
          <w:tcPr>
            <w:tcW w:w="536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2385" w:type="dxa"/>
            <w:gridSpan w:val="6"/>
            <w:tcBorders>
              <w:bottom w:val="single" w:sz="8" w:space="0" w:color="000000"/>
            </w:tcBorders>
            <w:tcMar>
              <w:bottom w:w="28" w:type="dxa"/>
            </w:tcMar>
            <w:vAlign w:val="center"/>
          </w:tcPr>
          <w:p>
            <w:pPr>
              <w:pStyle w:val="TableContents"/>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 the three months</w:t>
              <w:br/>
              <w:t>ended March 31,</w:t>
            </w:r>
          </w:p>
        </w:tc>
        <w:tc>
          <w:tcPr>
            <w:tcW w:w="9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1115" w:type="dxa"/>
            <w:gridSpan w:val="2"/>
            <w:tcBorders/>
            <w:vAlign w:val="center"/>
          </w:tcPr>
          <w:p>
            <w:pPr>
              <w:pStyle w:val="TableContents"/>
              <w:bidi w:val="0"/>
              <w:spacing w:before="0" w:after="283"/>
              <w:jc w:val="center"/>
              <w:rPr>
                <w:b/>
              </w:rPr>
            </w:pPr>
            <w:r>
              <w:rPr>
                <w:b/>
              </w:rPr>
              <w:t>Change</w:t>
            </w:r>
          </w:p>
        </w:tc>
        <w:tc>
          <w:tcPr>
            <w:tcW w:w="9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560" w:type="dxa"/>
            <w:gridSpan w:val="2"/>
            <w:tcBorders/>
            <w:vAlign w:val="center"/>
          </w:tcPr>
          <w:p>
            <w:pPr>
              <w:pStyle w:val="TableContents"/>
              <w:bidi w:val="0"/>
              <w:spacing w:before="0" w:after="283"/>
              <w:jc w:val="center"/>
              <w:rPr/>
            </w:pPr>
            <w:r>
              <w:rPr/>
              <w:t> </w:t>
            </w:r>
          </w:p>
        </w:tc>
        <w:tc>
          <w:tcPr>
            <w:tcW w:w="275" w:type="dxa"/>
            <w:tcBorders/>
            <w:vAlign w:val="center"/>
          </w:tcPr>
          <w:p>
            <w:pPr>
              <w:pStyle w:val="TableContents"/>
              <w:bidi w:val="0"/>
              <w:spacing w:before="0" w:after="283"/>
              <w:jc w:val="center"/>
              <w:rPr/>
            </w:pPr>
            <w:r>
              <w:rPr/>
              <w:t> </w:t>
            </w:r>
          </w:p>
        </w:tc>
      </w:tr>
      <w:tr>
        <w:trPr/>
        <w:tc>
          <w:tcPr>
            <w:tcW w:w="5360" w:type="dxa"/>
            <w:tcBorders>
              <w:bottom w:val="single" w:sz="8" w:space="0" w:color="000000"/>
            </w:tcBorders>
            <w:tcMar>
              <w:bottom w:w="28" w:type="dxa"/>
            </w:tcMar>
            <w:vAlign w:val="center"/>
          </w:tcPr>
          <w:p>
            <w:pPr>
              <w:pStyle w:val="TableContents"/>
              <w:bidi w:val="0"/>
              <w:spacing w:before="0" w:after="283"/>
              <w:jc w:val="left"/>
              <w:rPr>
                <w:b/>
              </w:rPr>
            </w:pPr>
            <w:r>
              <w:rPr>
                <w:b/>
              </w:rPr>
              <w:t>Particulars</w:t>
            </w:r>
          </w:p>
        </w:tc>
        <w:tc>
          <w:tcPr>
            <w:tcW w:w="60" w:type="dxa"/>
            <w:tcBorders/>
            <w:vAlign w:val="center"/>
          </w:tcPr>
          <w:p>
            <w:pPr>
              <w:pStyle w:val="TableContents"/>
              <w:bidi w:val="0"/>
              <w:spacing w:before="0" w:after="283"/>
              <w:jc w:val="center"/>
              <w:rPr/>
            </w:pPr>
            <w:r>
              <w:rPr/>
              <w:t> </w:t>
            </w:r>
          </w:p>
        </w:tc>
        <w:tc>
          <w:tcPr>
            <w:tcW w:w="111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2026</w:t>
            </w:r>
          </w:p>
        </w:tc>
        <w:tc>
          <w:tcPr>
            <w:tcW w:w="9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111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2025</w:t>
            </w:r>
          </w:p>
        </w:tc>
        <w:tc>
          <w:tcPr>
            <w:tcW w:w="9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111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amount</w:t>
            </w:r>
          </w:p>
        </w:tc>
        <w:tc>
          <w:tcPr>
            <w:tcW w:w="9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56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w:t>
            </w:r>
          </w:p>
        </w:tc>
        <w:tc>
          <w:tcPr>
            <w:tcW w:w="275" w:type="dxa"/>
            <w:tcBorders/>
            <w:vAlign w:val="center"/>
          </w:tcPr>
          <w:p>
            <w:pPr>
              <w:pStyle w:val="TableContents"/>
              <w:bidi w:val="0"/>
              <w:spacing w:before="0" w:after="283"/>
              <w:jc w:val="center"/>
              <w:rPr/>
            </w:pPr>
            <w:r>
              <w:rPr/>
              <w:t> </w:t>
            </w:r>
          </w:p>
        </w:tc>
      </w:tr>
      <w:tr>
        <w:trPr/>
        <w:tc>
          <w:tcPr>
            <w:tcW w:w="5360" w:type="dxa"/>
            <w:tcBorders/>
            <w:shd w:fill="CCEEFF" w:val="clear"/>
            <w:vAlign w:val="center"/>
          </w:tcPr>
          <w:p>
            <w:pPr>
              <w:pStyle w:val="TableContents"/>
              <w:bidi w:val="0"/>
              <w:spacing w:before="0" w:after="283"/>
              <w:jc w:val="left"/>
              <w:rPr>
                <w:b/>
              </w:rPr>
            </w:pPr>
            <w:r>
              <w:rPr>
                <w:b/>
              </w:rPr>
              <w:t>Net loss</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b/>
              </w:rPr>
            </w:pPr>
            <w:r>
              <w:rPr>
                <w:b/>
              </w:rPr>
              <w:t>(7,253,912</w:t>
            </w:r>
          </w:p>
        </w:tc>
        <w:tc>
          <w:tcPr>
            <w:tcW w:w="95" w:type="dxa"/>
            <w:tcBorders/>
            <w:shd w:fill="CCEEFF" w:val="clear"/>
            <w:vAlign w:val="center"/>
          </w:tcPr>
          <w:p>
            <w:pPr>
              <w:pStyle w:val="TableContents"/>
              <w:bidi w:val="0"/>
              <w:spacing w:before="0" w:after="283"/>
              <w:jc w:val="left"/>
              <w:rPr>
                <w:b/>
              </w:rPr>
            </w:pPr>
            <w:r>
              <w:rPr>
                <w:b/>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b/>
              </w:rPr>
            </w:pPr>
            <w:r>
              <w:rPr>
                <w:b/>
              </w:rPr>
              <w:t>(106,967</w:t>
            </w:r>
          </w:p>
        </w:tc>
        <w:tc>
          <w:tcPr>
            <w:tcW w:w="95" w:type="dxa"/>
            <w:tcBorders/>
            <w:shd w:fill="CCEEFF" w:val="clear"/>
            <w:vAlign w:val="center"/>
          </w:tcPr>
          <w:p>
            <w:pPr>
              <w:pStyle w:val="TableContents"/>
              <w:bidi w:val="0"/>
              <w:spacing w:before="0" w:after="283"/>
              <w:jc w:val="left"/>
              <w:rPr>
                <w:b/>
              </w:rPr>
            </w:pPr>
            <w:r>
              <w:rPr>
                <w:b/>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b/>
              </w:rPr>
            </w:pPr>
            <w:r>
              <w:rPr>
                <w:b/>
              </w:rPr>
              <w:t>(7,146,944</w:t>
            </w:r>
          </w:p>
        </w:tc>
        <w:tc>
          <w:tcPr>
            <w:tcW w:w="95" w:type="dxa"/>
            <w:tcBorders/>
            <w:shd w:fill="CCEEFF" w:val="clear"/>
            <w:vAlign w:val="center"/>
          </w:tcPr>
          <w:p>
            <w:pPr>
              <w:pStyle w:val="TableContents"/>
              <w:bidi w:val="0"/>
              <w:spacing w:before="0" w:after="283"/>
              <w:jc w:val="left"/>
              <w:rPr>
                <w:b/>
              </w:rPr>
            </w:pPr>
            <w:r>
              <w:rPr>
                <w:b/>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00" w:type="dxa"/>
            <w:tcBorders/>
            <w:shd w:fill="CCEEFF" w:val="clear"/>
            <w:vAlign w:val="center"/>
          </w:tcPr>
          <w:p>
            <w:pPr>
              <w:pStyle w:val="TableContents"/>
              <w:bidi w:val="0"/>
              <w:spacing w:before="0" w:after="283"/>
              <w:jc w:val="right"/>
              <w:rPr>
                <w:b/>
              </w:rPr>
            </w:pPr>
            <w:r>
              <w:rPr>
                <w:b/>
              </w:rPr>
              <w:t>6681</w:t>
            </w:r>
          </w:p>
        </w:tc>
        <w:tc>
          <w:tcPr>
            <w:tcW w:w="275" w:type="dxa"/>
            <w:tcBorders/>
            <w:shd w:fill="CCEEFF" w:val="clear"/>
            <w:vAlign w:val="center"/>
          </w:tcPr>
          <w:p>
            <w:pPr>
              <w:pStyle w:val="TableContents"/>
              <w:bidi w:val="0"/>
              <w:spacing w:before="0" w:after="283"/>
              <w:jc w:val="left"/>
              <w:rPr>
                <w:b/>
              </w:rPr>
            </w:pPr>
            <w:r>
              <w:rPr>
                <w:b/>
              </w:rPr>
              <w:t>%</w:t>
            </w:r>
          </w:p>
        </w:tc>
      </w:tr>
      <w:tr>
        <w:trPr/>
        <w:tc>
          <w:tcPr>
            <w:tcW w:w="5360" w:type="dxa"/>
            <w:tcBorders/>
            <w:shd w:fill="FFFFFF" w:val="clear"/>
            <w:vAlign w:val="center"/>
          </w:tcPr>
          <w:p>
            <w:pPr>
              <w:pStyle w:val="TableContents"/>
              <w:bidi w:val="0"/>
              <w:spacing w:before="0" w:after="283"/>
              <w:jc w:val="left"/>
              <w:rPr/>
            </w:pPr>
            <w:r>
              <w:rPr/>
              <w:t>Adjusted for:</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500" w:type="dxa"/>
            <w:tcBorders/>
            <w:shd w:fill="FFFFFF" w:val="clear"/>
            <w:vAlign w:val="center"/>
          </w:tcPr>
          <w:p>
            <w:pPr>
              <w:pStyle w:val="TableContents"/>
              <w:bidi w:val="0"/>
              <w:spacing w:before="0" w:after="283"/>
              <w:jc w:val="right"/>
              <w:rPr/>
            </w:pPr>
            <w:r>
              <w:rPr/>
              <w:t> </w:t>
            </w:r>
          </w:p>
        </w:tc>
        <w:tc>
          <w:tcPr>
            <w:tcW w:w="275" w:type="dxa"/>
            <w:tcBorders/>
            <w:shd w:fill="FFFFFF" w:val="clear"/>
            <w:vAlign w:val="center"/>
          </w:tcPr>
          <w:p>
            <w:pPr>
              <w:pStyle w:val="TableContents"/>
              <w:bidi w:val="0"/>
              <w:spacing w:before="0" w:after="283"/>
              <w:jc w:val="left"/>
              <w:rPr/>
            </w:pPr>
            <w:r>
              <w:rPr/>
              <w:t> </w:t>
            </w:r>
          </w:p>
        </w:tc>
      </w:tr>
      <w:tr>
        <w:trPr/>
        <w:tc>
          <w:tcPr>
            <w:tcW w:w="5360" w:type="dxa"/>
            <w:tcBorders/>
            <w:shd w:fill="CCEEFF" w:val="clear"/>
            <w:vAlign w:val="center"/>
          </w:tcPr>
          <w:p>
            <w:pPr>
              <w:pStyle w:val="TableContents"/>
              <w:bidi w:val="0"/>
              <w:spacing w:before="0" w:after="283"/>
              <w:jc w:val="left"/>
              <w:rPr/>
            </w:pPr>
            <w:r>
              <w:rPr/>
              <w:t>Other (income)/expense net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193,775</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(3,861,541</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4,055,316</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00" w:type="dxa"/>
            <w:tcBorders/>
            <w:shd w:fill="CCEEFF" w:val="clear"/>
            <w:vAlign w:val="center"/>
          </w:tcPr>
          <w:p>
            <w:pPr>
              <w:pStyle w:val="TableContents"/>
              <w:bidi w:val="0"/>
              <w:spacing w:before="0" w:after="283"/>
              <w:jc w:val="right"/>
              <w:rPr/>
            </w:pPr>
            <w:r>
              <w:rPr/>
              <w:t>-105</w:t>
            </w:r>
          </w:p>
        </w:tc>
        <w:tc>
          <w:tcPr>
            <w:tcW w:w="275" w:type="dxa"/>
            <w:tcBorders/>
            <w:shd w:fill="CCEEFF" w:val="clear"/>
            <w:vAlign w:val="center"/>
          </w:tcPr>
          <w:p>
            <w:pPr>
              <w:pStyle w:val="TableContents"/>
              <w:bidi w:val="0"/>
              <w:spacing w:before="0" w:after="283"/>
              <w:jc w:val="left"/>
              <w:rPr/>
            </w:pPr>
            <w:r>
              <w:rPr/>
              <w:t>%</w:t>
            </w:r>
          </w:p>
        </w:tc>
      </w:tr>
      <w:tr>
        <w:trPr/>
        <w:tc>
          <w:tcPr>
            <w:tcW w:w="5360" w:type="dxa"/>
            <w:tcBorders/>
            <w:shd w:fill="FFFFFF" w:val="clear"/>
            <w:vAlign w:val="center"/>
          </w:tcPr>
          <w:p>
            <w:pPr>
              <w:pStyle w:val="TableContents"/>
              <w:bidi w:val="0"/>
              <w:spacing w:before="0" w:after="283"/>
              <w:jc w:val="left"/>
              <w:rPr/>
            </w:pPr>
            <w:r>
              <w:rPr/>
              <w:t>Interest (income)/expense</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1,871,764</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714,899</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1,156,865</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500" w:type="dxa"/>
            <w:tcBorders/>
            <w:shd w:fill="FFFFFF" w:val="clear"/>
            <w:vAlign w:val="center"/>
          </w:tcPr>
          <w:p>
            <w:pPr>
              <w:pStyle w:val="TableContents"/>
              <w:bidi w:val="0"/>
              <w:spacing w:before="0" w:after="283"/>
              <w:jc w:val="right"/>
              <w:rPr/>
            </w:pPr>
            <w:r>
              <w:rPr/>
              <w:t>162</w:t>
            </w:r>
          </w:p>
        </w:tc>
        <w:tc>
          <w:tcPr>
            <w:tcW w:w="275" w:type="dxa"/>
            <w:tcBorders/>
            <w:shd w:fill="FFFFFF" w:val="clear"/>
            <w:vAlign w:val="center"/>
          </w:tcPr>
          <w:p>
            <w:pPr>
              <w:pStyle w:val="TableContents"/>
              <w:bidi w:val="0"/>
              <w:spacing w:before="0" w:after="283"/>
              <w:jc w:val="left"/>
              <w:rPr/>
            </w:pPr>
            <w:r>
              <w:rPr/>
              <w:t>%</w:t>
            </w:r>
          </w:p>
        </w:tc>
      </w:tr>
      <w:tr>
        <w:trPr/>
        <w:tc>
          <w:tcPr>
            <w:tcW w:w="5360" w:type="dxa"/>
            <w:tcBorders/>
            <w:shd w:fill="CCEEFF" w:val="clear"/>
            <w:vAlign w:val="center"/>
          </w:tcPr>
          <w:p>
            <w:pPr>
              <w:pStyle w:val="TableContents"/>
              <w:bidi w:val="0"/>
              <w:spacing w:before="0" w:after="283"/>
              <w:jc w:val="left"/>
              <w:rPr/>
            </w:pPr>
            <w:r>
              <w:rPr/>
              <w:t>Gain on bargain purchase</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(174,248</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(174,248</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00" w:type="dxa"/>
            <w:tcBorders/>
            <w:shd w:fill="CCEEFF" w:val="clear"/>
            <w:vAlign w:val="center"/>
          </w:tcPr>
          <w:p>
            <w:pPr>
              <w:pStyle w:val="TableContents"/>
              <w:bidi w:val="0"/>
              <w:spacing w:before="0" w:after="283"/>
              <w:jc w:val="right"/>
              <w:rPr/>
            </w:pPr>
            <w:r>
              <w:rPr/>
              <w:t>100</w:t>
            </w:r>
          </w:p>
        </w:tc>
        <w:tc>
          <w:tcPr>
            <w:tcW w:w="275" w:type="dxa"/>
            <w:tcBorders/>
            <w:shd w:fill="CCEEFF" w:val="clear"/>
            <w:vAlign w:val="center"/>
          </w:tcPr>
          <w:p>
            <w:pPr>
              <w:pStyle w:val="TableContents"/>
              <w:bidi w:val="0"/>
              <w:spacing w:before="0" w:after="283"/>
              <w:jc w:val="left"/>
              <w:rPr/>
            </w:pPr>
            <w:r>
              <w:rPr/>
              <w:t>%</w:t>
            </w:r>
          </w:p>
        </w:tc>
      </w:tr>
      <w:tr>
        <w:trPr/>
        <w:tc>
          <w:tcPr>
            <w:tcW w:w="536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Fair value changes in financial instruments carried at fair value</w:t>
            </w:r>
            <w:r>
              <w:rPr>
                <w:rFonts w:ascii="Times New Roman;Times;Serif" w:hAnsi="Times New Roman;Times;Serif"/>
                <w:position w:val="7"/>
                <w:sz w:val="16"/>
                <w:sz w:val="20"/>
              </w:rPr>
              <w:t>(1)</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(635,187</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(1,681,725</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1,046,538</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500" w:type="dxa"/>
            <w:tcBorders/>
            <w:shd w:fill="FFFFFF" w:val="clear"/>
            <w:vAlign w:val="center"/>
          </w:tcPr>
          <w:p>
            <w:pPr>
              <w:pStyle w:val="TableContents"/>
              <w:bidi w:val="0"/>
              <w:spacing w:before="0" w:after="283"/>
              <w:jc w:val="right"/>
              <w:rPr/>
            </w:pPr>
            <w:r>
              <w:rPr/>
              <w:t>-62</w:t>
            </w:r>
          </w:p>
        </w:tc>
        <w:tc>
          <w:tcPr>
            <w:tcW w:w="275" w:type="dxa"/>
            <w:tcBorders/>
            <w:shd w:fill="FFFFFF" w:val="clear"/>
            <w:vAlign w:val="center"/>
          </w:tcPr>
          <w:p>
            <w:pPr>
              <w:pStyle w:val="TableContents"/>
              <w:bidi w:val="0"/>
              <w:spacing w:before="0" w:after="283"/>
              <w:jc w:val="left"/>
              <w:rPr/>
            </w:pPr>
            <w:r>
              <w:rPr/>
              <w:t>%</w:t>
            </w:r>
          </w:p>
        </w:tc>
      </w:tr>
      <w:tr>
        <w:trPr/>
        <w:tc>
          <w:tcPr>
            <w:tcW w:w="5360" w:type="dxa"/>
            <w:tcBorders/>
            <w:shd w:fill="CCEEFF" w:val="clear"/>
            <w:vAlign w:val="center"/>
          </w:tcPr>
          <w:p>
            <w:pPr>
              <w:pStyle w:val="TableContents"/>
              <w:bidi w:val="0"/>
              <w:spacing w:before="0" w:after="283"/>
              <w:jc w:val="left"/>
              <w:rPr/>
            </w:pPr>
            <w:r>
              <w:rPr/>
              <w:t>Gain on deconsolidation of subsidiaries</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00" w:type="dxa"/>
            <w:tcBorders/>
            <w:shd w:fill="CCEEFF" w:val="clear"/>
            <w:vAlign w:val="center"/>
          </w:tcPr>
          <w:p>
            <w:pPr>
              <w:pStyle w:val="TableContents"/>
              <w:bidi w:val="0"/>
              <w:spacing w:before="0" w:after="283"/>
              <w:jc w:val="right"/>
              <w:rPr/>
            </w:pPr>
            <w:r>
              <w:rPr/>
              <w:t>-</w:t>
            </w:r>
          </w:p>
        </w:tc>
        <w:tc>
          <w:tcPr>
            <w:tcW w:w="275" w:type="dxa"/>
            <w:tcBorders/>
            <w:shd w:fill="CCEEFF" w:val="clear"/>
            <w:vAlign w:val="center"/>
          </w:tcPr>
          <w:p>
            <w:pPr>
              <w:pStyle w:val="TableContents"/>
              <w:bidi w:val="0"/>
              <w:spacing w:before="0" w:after="283"/>
              <w:jc w:val="left"/>
              <w:rPr/>
            </w:pPr>
            <w:r>
              <w:rPr/>
              <w:t> </w:t>
            </w:r>
          </w:p>
        </w:tc>
      </w:tr>
      <w:tr>
        <w:trPr/>
        <w:tc>
          <w:tcPr>
            <w:tcW w:w="5360" w:type="dxa"/>
            <w:tcBorders/>
            <w:shd w:fill="FFFFFF" w:val="clear"/>
            <w:vAlign w:val="center"/>
          </w:tcPr>
          <w:p>
            <w:pPr>
              <w:pStyle w:val="TableContents"/>
              <w:bidi w:val="0"/>
              <w:spacing w:before="0" w:after="283"/>
              <w:jc w:val="left"/>
              <w:rPr/>
            </w:pPr>
            <w:r>
              <w:rPr/>
              <w:t>Impairment of goodwill and intangibles with definite life</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500" w:type="dxa"/>
            <w:tcBorders/>
            <w:shd w:fill="FFFFFF" w:val="clear"/>
            <w:vAlign w:val="center"/>
          </w:tcPr>
          <w:p>
            <w:pPr>
              <w:pStyle w:val="TableContents"/>
              <w:bidi w:val="0"/>
              <w:spacing w:before="0" w:after="283"/>
              <w:jc w:val="right"/>
              <w:rPr/>
            </w:pPr>
            <w:r>
              <w:rPr/>
              <w:t>-</w:t>
            </w:r>
          </w:p>
        </w:tc>
        <w:tc>
          <w:tcPr>
            <w:tcW w:w="275" w:type="dxa"/>
            <w:tcBorders/>
            <w:shd w:fill="FFFFFF" w:val="clear"/>
            <w:vAlign w:val="center"/>
          </w:tcPr>
          <w:p>
            <w:pPr>
              <w:pStyle w:val="TableContents"/>
              <w:bidi w:val="0"/>
              <w:spacing w:before="0" w:after="283"/>
              <w:jc w:val="left"/>
              <w:rPr/>
            </w:pPr>
            <w:r>
              <w:rPr/>
              <w:t> </w:t>
            </w:r>
          </w:p>
        </w:tc>
      </w:tr>
      <w:tr>
        <w:trPr/>
        <w:tc>
          <w:tcPr>
            <w:tcW w:w="5360" w:type="dxa"/>
            <w:tcBorders/>
            <w:shd w:fill="CCEEFF" w:val="clear"/>
            <w:vAlign w:val="center"/>
          </w:tcPr>
          <w:p>
            <w:pPr>
              <w:pStyle w:val="TableContents"/>
              <w:bidi w:val="0"/>
              <w:spacing w:before="0" w:after="283"/>
              <w:jc w:val="left"/>
              <w:rPr/>
            </w:pPr>
            <w:r>
              <w:rPr/>
              <w:t>Impairment of investment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00" w:type="dxa"/>
            <w:tcBorders/>
            <w:shd w:fill="CCEEFF" w:val="clear"/>
            <w:vAlign w:val="center"/>
          </w:tcPr>
          <w:p>
            <w:pPr>
              <w:pStyle w:val="TableContents"/>
              <w:bidi w:val="0"/>
              <w:spacing w:before="0" w:after="283"/>
              <w:jc w:val="right"/>
              <w:rPr/>
            </w:pPr>
            <w:r>
              <w:rPr/>
              <w:t>-</w:t>
            </w:r>
          </w:p>
        </w:tc>
        <w:tc>
          <w:tcPr>
            <w:tcW w:w="275" w:type="dxa"/>
            <w:tcBorders/>
            <w:shd w:fill="CCEEFF" w:val="clear"/>
            <w:vAlign w:val="center"/>
          </w:tcPr>
          <w:p>
            <w:pPr>
              <w:pStyle w:val="TableContents"/>
              <w:bidi w:val="0"/>
              <w:spacing w:before="0" w:after="283"/>
              <w:jc w:val="left"/>
              <w:rPr/>
            </w:pPr>
            <w:r>
              <w:rPr/>
              <w:t> </w:t>
            </w:r>
          </w:p>
        </w:tc>
      </w:tr>
      <w:tr>
        <w:trPr/>
        <w:tc>
          <w:tcPr>
            <w:tcW w:w="5360" w:type="dxa"/>
            <w:tcBorders/>
            <w:shd w:fill="FFFFFF" w:val="clear"/>
            <w:vAlign w:val="center"/>
          </w:tcPr>
          <w:p>
            <w:pPr>
              <w:pStyle w:val="TableContents"/>
              <w:bidi w:val="0"/>
              <w:spacing w:before="0" w:after="283"/>
              <w:jc w:val="left"/>
              <w:rPr/>
            </w:pPr>
            <w:r>
              <w:rPr/>
              <w:t>Impairment of investment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269,470</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1,245,326</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(975,856</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500" w:type="dxa"/>
            <w:tcBorders/>
            <w:shd w:fill="FFFFFF" w:val="clear"/>
            <w:vAlign w:val="center"/>
          </w:tcPr>
          <w:p>
            <w:pPr>
              <w:pStyle w:val="TableContents"/>
              <w:bidi w:val="0"/>
              <w:spacing w:before="0" w:after="283"/>
              <w:jc w:val="right"/>
              <w:rPr/>
            </w:pPr>
            <w:r>
              <w:rPr/>
              <w:t>-78</w:t>
            </w:r>
          </w:p>
        </w:tc>
        <w:tc>
          <w:tcPr>
            <w:tcW w:w="275" w:type="dxa"/>
            <w:tcBorders/>
            <w:shd w:fill="FFFFFF" w:val="clear"/>
            <w:vAlign w:val="center"/>
          </w:tcPr>
          <w:p>
            <w:pPr>
              <w:pStyle w:val="TableContents"/>
              <w:bidi w:val="0"/>
              <w:spacing w:before="0" w:after="283"/>
              <w:jc w:val="left"/>
              <w:rPr/>
            </w:pPr>
            <w:r>
              <w:rPr/>
              <w:t>%</w:t>
            </w:r>
          </w:p>
        </w:tc>
      </w:tr>
      <w:tr>
        <w:trPr/>
        <w:tc>
          <w:tcPr>
            <w:tcW w:w="5360" w:type="dxa"/>
            <w:tcBorders/>
            <w:shd w:fill="CCEEFF" w:val="clear"/>
            <w:vAlign w:val="center"/>
          </w:tcPr>
          <w:p>
            <w:pPr>
              <w:pStyle w:val="TableContents"/>
              <w:bidi w:val="0"/>
              <w:spacing w:before="0" w:after="283"/>
              <w:jc w:val="left"/>
              <w:rPr/>
            </w:pPr>
            <w:r>
              <w:rPr/>
              <w:t>Tax (benefit)/expense</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(46,966</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69,709</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(116,675</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00" w:type="dxa"/>
            <w:tcBorders/>
            <w:shd w:fill="CCEEFF" w:val="clear"/>
            <w:vAlign w:val="center"/>
          </w:tcPr>
          <w:p>
            <w:pPr>
              <w:pStyle w:val="TableContents"/>
              <w:bidi w:val="0"/>
              <w:spacing w:before="0" w:after="283"/>
              <w:jc w:val="right"/>
              <w:rPr/>
            </w:pPr>
            <w:r>
              <w:rPr/>
              <w:t>-167</w:t>
            </w:r>
          </w:p>
        </w:tc>
        <w:tc>
          <w:tcPr>
            <w:tcW w:w="275" w:type="dxa"/>
            <w:tcBorders/>
            <w:shd w:fill="CCEEFF" w:val="clear"/>
            <w:vAlign w:val="center"/>
          </w:tcPr>
          <w:p>
            <w:pPr>
              <w:pStyle w:val="TableContents"/>
              <w:bidi w:val="0"/>
              <w:spacing w:before="0" w:after="283"/>
              <w:jc w:val="left"/>
              <w:rPr/>
            </w:pPr>
            <w:r>
              <w:rPr/>
              <w:t>%</w:t>
            </w:r>
          </w:p>
        </w:tc>
      </w:tr>
      <w:tr>
        <w:trPr/>
        <w:tc>
          <w:tcPr>
            <w:tcW w:w="5360" w:type="dxa"/>
            <w:tcBorders/>
            <w:shd w:fill="FFFFFF" w:val="clear"/>
            <w:vAlign w:val="center"/>
          </w:tcPr>
          <w:p>
            <w:pPr>
              <w:pStyle w:val="TableContents"/>
              <w:bidi w:val="0"/>
              <w:spacing w:before="0" w:after="283"/>
              <w:jc w:val="left"/>
              <w:rPr/>
            </w:pPr>
            <w:r>
              <w:rPr/>
              <w:t>Depreciation and amortization</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1,057,462</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1,046,539</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10,923</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500" w:type="dxa"/>
            <w:tcBorders/>
            <w:shd w:fill="FFFFFF" w:val="clear"/>
            <w:vAlign w:val="center"/>
          </w:tcPr>
          <w:p>
            <w:pPr>
              <w:pStyle w:val="TableContents"/>
              <w:bidi w:val="0"/>
              <w:spacing w:before="0" w:after="283"/>
              <w:jc w:val="right"/>
              <w:rPr/>
            </w:pPr>
            <w:r>
              <w:rPr/>
              <w:t>1</w:t>
            </w:r>
          </w:p>
        </w:tc>
        <w:tc>
          <w:tcPr>
            <w:tcW w:w="275" w:type="dxa"/>
            <w:tcBorders/>
            <w:shd w:fill="FFFFFF" w:val="clear"/>
            <w:vAlign w:val="center"/>
          </w:tcPr>
          <w:p>
            <w:pPr>
              <w:pStyle w:val="TableContents"/>
              <w:bidi w:val="0"/>
              <w:spacing w:before="0" w:after="283"/>
              <w:jc w:val="left"/>
              <w:rPr/>
            </w:pPr>
            <w:r>
              <w:rPr/>
              <w:t>%</w:t>
            </w:r>
          </w:p>
        </w:tc>
      </w:tr>
      <w:tr>
        <w:trPr/>
        <w:tc>
          <w:tcPr>
            <w:tcW w:w="5360" w:type="dxa"/>
            <w:tcBorders/>
            <w:shd w:fill="CCEEFF" w:val="clear"/>
            <w:vAlign w:val="center"/>
          </w:tcPr>
          <w:p>
            <w:pPr>
              <w:pStyle w:val="TableContents"/>
              <w:bidi w:val="0"/>
              <w:spacing w:before="0" w:after="283"/>
              <w:jc w:val="left"/>
              <w:rPr/>
            </w:pPr>
            <w:r>
              <w:rPr/>
              <w:t>Stock based compensation expense</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285,243</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76,397</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208,846</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00" w:type="dxa"/>
            <w:tcBorders/>
            <w:shd w:fill="CCEEFF" w:val="clear"/>
            <w:vAlign w:val="center"/>
          </w:tcPr>
          <w:p>
            <w:pPr>
              <w:pStyle w:val="TableContents"/>
              <w:bidi w:val="0"/>
              <w:spacing w:before="0" w:after="283"/>
              <w:jc w:val="right"/>
              <w:rPr/>
            </w:pPr>
            <w:r>
              <w:rPr/>
              <w:t>273</w:t>
            </w:r>
          </w:p>
        </w:tc>
        <w:tc>
          <w:tcPr>
            <w:tcW w:w="275" w:type="dxa"/>
            <w:tcBorders/>
            <w:shd w:fill="CCEEFF" w:val="clear"/>
            <w:vAlign w:val="center"/>
          </w:tcPr>
          <w:p>
            <w:pPr>
              <w:pStyle w:val="TableContents"/>
              <w:bidi w:val="0"/>
              <w:spacing w:before="0" w:after="283"/>
              <w:jc w:val="left"/>
              <w:rPr/>
            </w:pPr>
            <w:r>
              <w:rPr/>
              <w:t>%</w:t>
            </w:r>
          </w:p>
        </w:tc>
      </w:tr>
      <w:tr>
        <w:trPr/>
        <w:tc>
          <w:tcPr>
            <w:tcW w:w="5360" w:type="dxa"/>
            <w:tcBorders/>
            <w:shd w:fill="FFFFFF" w:val="clear"/>
            <w:vAlign w:val="center"/>
          </w:tcPr>
          <w:p>
            <w:pPr>
              <w:pStyle w:val="TableContents"/>
              <w:bidi w:val="0"/>
              <w:spacing w:before="0" w:after="283"/>
              <w:jc w:val="left"/>
              <w:rPr/>
            </w:pPr>
            <w:r>
              <w:rPr/>
              <w:t>Non-cash expenses</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2,556,635</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493,210</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2,063,425</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500" w:type="dxa"/>
            <w:tcBorders/>
            <w:shd w:fill="FFFFFF" w:val="clear"/>
            <w:vAlign w:val="center"/>
          </w:tcPr>
          <w:p>
            <w:pPr>
              <w:pStyle w:val="TableContents"/>
              <w:bidi w:val="0"/>
              <w:spacing w:before="0" w:after="283"/>
              <w:jc w:val="right"/>
              <w:rPr/>
            </w:pPr>
            <w:r>
              <w:rPr/>
              <w:t>418</w:t>
            </w:r>
          </w:p>
        </w:tc>
        <w:tc>
          <w:tcPr>
            <w:tcW w:w="275" w:type="dxa"/>
            <w:tcBorders/>
            <w:shd w:fill="FFFFFF" w:val="clear"/>
            <w:vAlign w:val="center"/>
          </w:tcPr>
          <w:p>
            <w:pPr>
              <w:pStyle w:val="TableContents"/>
              <w:bidi w:val="0"/>
              <w:spacing w:before="0" w:after="283"/>
              <w:jc w:val="left"/>
              <w:rPr/>
            </w:pPr>
            <w:r>
              <w:rPr/>
              <w:t>%</w:t>
            </w:r>
          </w:p>
        </w:tc>
      </w:tr>
      <w:tr>
        <w:trPr/>
        <w:tc>
          <w:tcPr>
            <w:tcW w:w="5360" w:type="dxa"/>
            <w:tcBorders/>
            <w:shd w:fill="CCEEFF" w:val="clear"/>
            <w:vAlign w:val="center"/>
          </w:tcPr>
          <w:p>
            <w:pPr>
              <w:pStyle w:val="TableContents"/>
              <w:bidi w:val="0"/>
              <w:spacing w:before="0" w:after="283"/>
              <w:jc w:val="left"/>
              <w:rPr/>
            </w:pPr>
            <w:r>
              <w:rPr/>
              <w:t>Non-recurring expenses</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055" w:type="dxa"/>
            <w:tcBorders>
              <w:bottom w:val="single" w:sz="8" w:space="0" w:color="000000"/>
            </w:tcBorders>
            <w:shd w:fill="CCEEFF" w:val="clear"/>
            <w:tcMar>
              <w:bottom w:w="28" w:type="dxa"/>
            </w:tcMar>
            <w:vAlign w:val="center"/>
          </w:tcPr>
          <w:p>
            <w:pPr>
              <w:pStyle w:val="TableContents"/>
              <w:bidi w:val="0"/>
              <w:spacing w:before="0" w:after="283"/>
              <w:jc w:val="right"/>
              <w:rPr/>
            </w:pPr>
            <w:r>
              <w:rPr/>
              <w:t>1,437,515</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055" w:type="dxa"/>
            <w:tcBorders>
              <w:bottom w:val="single" w:sz="8" w:space="0" w:color="000000"/>
            </w:tcBorders>
            <w:shd w:fill="CCEEFF" w:val="clear"/>
            <w:tcMar>
              <w:bottom w:w="28" w:type="dxa"/>
            </w:tcMar>
            <w:vAlign w:val="center"/>
          </w:tcPr>
          <w:p>
            <w:pPr>
              <w:pStyle w:val="TableContents"/>
              <w:bidi w:val="0"/>
              <w:spacing w:before="0" w:after="283"/>
              <w:jc w:val="right"/>
              <w:rPr/>
            </w:pPr>
            <w:r>
              <w:rPr/>
              <w:t>386,746</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055" w:type="dxa"/>
            <w:tcBorders>
              <w:bottom w:val="single" w:sz="8" w:space="0" w:color="000000"/>
            </w:tcBorders>
            <w:shd w:fill="CCEEFF" w:val="clear"/>
            <w:tcMar>
              <w:bottom w:w="28" w:type="dxa"/>
            </w:tcMar>
            <w:vAlign w:val="center"/>
          </w:tcPr>
          <w:p>
            <w:pPr>
              <w:pStyle w:val="TableContents"/>
              <w:bidi w:val="0"/>
              <w:spacing w:before="0" w:after="283"/>
              <w:jc w:val="right"/>
              <w:rPr/>
            </w:pPr>
            <w:r>
              <w:rPr/>
              <w:t>1,050,769</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500" w:type="dxa"/>
            <w:tcBorders>
              <w:bottom w:val="single" w:sz="8" w:space="0" w:color="000000"/>
            </w:tcBorders>
            <w:shd w:fill="CCEEFF" w:val="clear"/>
            <w:tcMar>
              <w:bottom w:w="28" w:type="dxa"/>
            </w:tcMar>
            <w:vAlign w:val="center"/>
          </w:tcPr>
          <w:p>
            <w:pPr>
              <w:pStyle w:val="TableContents"/>
              <w:bidi w:val="0"/>
              <w:spacing w:before="0" w:after="283"/>
              <w:jc w:val="right"/>
              <w:rPr/>
            </w:pPr>
            <w:r>
              <w:rPr/>
              <w:t>272</w:t>
            </w:r>
          </w:p>
        </w:tc>
        <w:tc>
          <w:tcPr>
            <w:tcW w:w="275" w:type="dxa"/>
            <w:tcBorders/>
            <w:shd w:fill="CCEEFF" w:val="clear"/>
            <w:vAlign w:val="center"/>
          </w:tcPr>
          <w:p>
            <w:pPr>
              <w:pStyle w:val="TableContents"/>
              <w:bidi w:val="0"/>
              <w:spacing w:before="0" w:after="283"/>
              <w:jc w:val="left"/>
              <w:rPr/>
            </w:pPr>
            <w:r>
              <w:rPr/>
              <w:t>%</w:t>
            </w:r>
          </w:p>
        </w:tc>
      </w:tr>
      <w:tr>
        <w:trPr/>
        <w:tc>
          <w:tcPr>
            <w:tcW w:w="5360" w:type="dxa"/>
            <w:tcBorders/>
            <w:shd w:fill="FFFFFF" w:val="clear"/>
            <w:vAlign w:val="center"/>
          </w:tcPr>
          <w:p>
            <w:pPr>
              <w:pStyle w:val="TableContents"/>
              <w:bidi w:val="0"/>
              <w:spacing w:before="0" w:after="283"/>
              <w:jc w:val="left"/>
              <w:rPr>
                <w:b/>
              </w:rPr>
            </w:pPr>
            <w:r>
              <w:rPr>
                <w:b/>
              </w:rPr>
              <w:t>Adjusted EBITDA</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055" w:type="dxa"/>
            <w:tcBorders>
              <w:bottom w:val="single" w:sz="8" w:space="0" w:color="000000"/>
            </w:tcBorders>
            <w:shd w:fill="FFFFFF" w:val="clear"/>
            <w:tcMar>
              <w:bottom w:w="28" w:type="dxa"/>
            </w:tcMar>
            <w:vAlign w:val="center"/>
          </w:tcPr>
          <w:p>
            <w:pPr>
              <w:pStyle w:val="TableContents"/>
              <w:bidi w:val="0"/>
              <w:spacing w:before="0" w:after="283"/>
              <w:jc w:val="right"/>
              <w:rPr>
                <w:b/>
              </w:rPr>
            </w:pPr>
            <w:r>
              <w:rPr>
                <w:b/>
              </w:rPr>
              <w:t>(438,449</w:t>
            </w:r>
          </w:p>
        </w:tc>
        <w:tc>
          <w:tcPr>
            <w:tcW w:w="95" w:type="dxa"/>
            <w:tcBorders/>
            <w:shd w:fill="FFFFFF" w:val="clear"/>
            <w:vAlign w:val="center"/>
          </w:tcPr>
          <w:p>
            <w:pPr>
              <w:pStyle w:val="TableContents"/>
              <w:bidi w:val="0"/>
              <w:spacing w:before="0" w:after="283"/>
              <w:jc w:val="left"/>
              <w:rPr>
                <w:b/>
              </w:rPr>
            </w:pPr>
            <w:r>
              <w:rPr>
                <w:b/>
              </w:rPr>
              <w:t>)</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055" w:type="dxa"/>
            <w:tcBorders>
              <w:bottom w:val="single" w:sz="8" w:space="0" w:color="000000"/>
            </w:tcBorders>
            <w:shd w:fill="FFFFFF" w:val="clear"/>
            <w:tcMar>
              <w:bottom w:w="28" w:type="dxa"/>
            </w:tcMar>
            <w:vAlign w:val="center"/>
          </w:tcPr>
          <w:p>
            <w:pPr>
              <w:pStyle w:val="TableContents"/>
              <w:bidi w:val="0"/>
              <w:spacing w:before="0" w:after="283"/>
              <w:jc w:val="right"/>
              <w:rPr>
                <w:b/>
              </w:rPr>
            </w:pPr>
            <w:r>
              <w:rPr>
                <w:b/>
              </w:rPr>
              <w:t>(1,617,407</w:t>
            </w:r>
          </w:p>
        </w:tc>
        <w:tc>
          <w:tcPr>
            <w:tcW w:w="95" w:type="dxa"/>
            <w:tcBorders/>
            <w:shd w:fill="FFFFFF" w:val="clear"/>
            <w:vAlign w:val="center"/>
          </w:tcPr>
          <w:p>
            <w:pPr>
              <w:pStyle w:val="TableContents"/>
              <w:bidi w:val="0"/>
              <w:spacing w:before="0" w:after="283"/>
              <w:jc w:val="left"/>
              <w:rPr>
                <w:b/>
              </w:rPr>
            </w:pPr>
            <w:r>
              <w:rPr>
                <w:b/>
              </w:rPr>
              <w:t>)</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055" w:type="dxa"/>
            <w:tcBorders>
              <w:bottom w:val="single" w:sz="8" w:space="0" w:color="000000"/>
            </w:tcBorders>
            <w:shd w:fill="FFFFFF" w:val="clear"/>
            <w:tcMar>
              <w:bottom w:w="28" w:type="dxa"/>
            </w:tcMar>
            <w:vAlign w:val="center"/>
          </w:tcPr>
          <w:p>
            <w:pPr>
              <w:pStyle w:val="TableContents"/>
              <w:bidi w:val="0"/>
              <w:spacing w:before="0" w:after="283"/>
              <w:jc w:val="right"/>
              <w:rPr>
                <w:b/>
              </w:rPr>
            </w:pPr>
            <w:r>
              <w:rPr>
                <w:b/>
              </w:rPr>
              <w:t>1,178,958</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500" w:type="dxa"/>
            <w:tcBorders>
              <w:bottom w:val="single" w:sz="8" w:space="0" w:color="000000"/>
            </w:tcBorders>
            <w:shd w:fill="FFFFFF" w:val="clear"/>
            <w:tcMar>
              <w:bottom w:w="28" w:type="dxa"/>
            </w:tcMar>
            <w:vAlign w:val="center"/>
          </w:tcPr>
          <w:p>
            <w:pPr>
              <w:pStyle w:val="TableContents"/>
              <w:bidi w:val="0"/>
              <w:spacing w:before="0" w:after="283"/>
              <w:jc w:val="right"/>
              <w:rPr>
                <w:b/>
              </w:rPr>
            </w:pPr>
            <w:r>
              <w:rPr>
                <w:b/>
              </w:rPr>
              <w:t>-73</w:t>
            </w:r>
          </w:p>
        </w:tc>
        <w:tc>
          <w:tcPr>
            <w:tcW w:w="275" w:type="dxa"/>
            <w:tcBorders/>
            <w:shd w:fill="FFFFFF" w:val="clear"/>
            <w:vAlign w:val="center"/>
          </w:tcPr>
          <w:p>
            <w:pPr>
              <w:pStyle w:val="TableContents"/>
              <w:bidi w:val="0"/>
              <w:spacing w:before="0" w:after="283"/>
              <w:jc w:val="left"/>
              <w:rPr>
                <w:b/>
              </w:rPr>
            </w:pPr>
            <w:r>
              <w:rPr>
                <w:b/>
              </w:rPr>
              <w:t>%</w:t>
            </w:r>
          </w:p>
        </w:tc>
      </w:tr>
    </w:tbl>
    <w:p>
      <w:pPr>
        <w:pStyle w:val="TextBody"/>
        <w:bidi w:val="0"/>
        <w:spacing w:before="0" w:after="0"/>
        <w:jc w:val="center"/>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5185"/>
        <w:gridCol w:w="60"/>
        <w:gridCol w:w="60"/>
        <w:gridCol w:w="1175"/>
        <w:gridCol w:w="95"/>
        <w:gridCol w:w="60"/>
        <w:gridCol w:w="60"/>
        <w:gridCol w:w="1175"/>
        <w:gridCol w:w="95"/>
        <w:gridCol w:w="60"/>
        <w:gridCol w:w="60"/>
        <w:gridCol w:w="1175"/>
        <w:gridCol w:w="95"/>
        <w:gridCol w:w="60"/>
        <w:gridCol w:w="60"/>
        <w:gridCol w:w="455"/>
        <w:gridCol w:w="275"/>
      </w:tblGrid>
      <w:tr>
        <w:trPr/>
        <w:tc>
          <w:tcPr>
            <w:tcW w:w="518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625" w:type="dxa"/>
            <w:gridSpan w:val="6"/>
            <w:tcBorders>
              <w:bottom w:val="single" w:sz="8"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 the year ended</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March 31,</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35" w:type="dxa"/>
            <w:gridSpan w:val="2"/>
            <w:tcBorders/>
            <w:vAlign w:val="center"/>
          </w:tcPr>
          <w:p>
            <w:pPr>
              <w:pStyle w:val="TableContents"/>
              <w:bidi w:val="0"/>
              <w:spacing w:before="0" w:after="283"/>
              <w:jc w:val="center"/>
              <w:rPr>
                <w:b/>
              </w:rPr>
            </w:pPr>
            <w:r>
              <w:rPr>
                <w:b/>
              </w:rPr>
              <w:t>Change</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15" w:type="dxa"/>
            <w:gridSpan w:val="2"/>
            <w:tcBorders/>
            <w:vAlign w:val="center"/>
          </w:tcPr>
          <w:p>
            <w:pPr>
              <w:pStyle w:val="TableContents"/>
              <w:bidi w:val="0"/>
              <w:spacing w:before="0" w:after="283"/>
              <w:jc w:val="center"/>
              <w:rPr/>
            </w:pPr>
            <w:r>
              <w:rPr/>
              <w:t> </w:t>
            </w:r>
          </w:p>
        </w:tc>
        <w:tc>
          <w:tcPr>
            <w:tcW w:w="275" w:type="dxa"/>
            <w:tcBorders/>
            <w:vAlign w:val="center"/>
          </w:tcPr>
          <w:p>
            <w:pPr>
              <w:pStyle w:val="TableContents"/>
              <w:bidi w:val="0"/>
              <w:spacing w:before="0" w:after="283"/>
              <w:jc w:val="left"/>
              <w:rPr/>
            </w:pPr>
            <w:r>
              <w:rPr/>
              <w:t> </w:t>
            </w:r>
          </w:p>
        </w:tc>
      </w:tr>
      <w:tr>
        <w:trPr/>
        <w:tc>
          <w:tcPr>
            <w:tcW w:w="5185" w:type="dxa"/>
            <w:tcBorders>
              <w:bottom w:val="single" w:sz="8" w:space="0" w:color="000000"/>
            </w:tcBorders>
            <w:tcMar>
              <w:bottom w:w="28" w:type="dxa"/>
            </w:tcMar>
            <w:vAlign w:val="center"/>
          </w:tcPr>
          <w:p>
            <w:pPr>
              <w:pStyle w:val="TableContents"/>
              <w:bidi w:val="0"/>
              <w:spacing w:before="0" w:after="283"/>
              <w:jc w:val="left"/>
              <w:rPr>
                <w:b/>
              </w:rPr>
            </w:pPr>
            <w:r>
              <w:rPr>
                <w:b/>
              </w:rPr>
              <w:t>Particulars</w:t>
            </w:r>
          </w:p>
        </w:tc>
        <w:tc>
          <w:tcPr>
            <w:tcW w:w="60" w:type="dxa"/>
            <w:tcBorders/>
            <w:vAlign w:val="center"/>
          </w:tcPr>
          <w:p>
            <w:pPr>
              <w:pStyle w:val="TableContents"/>
              <w:bidi w:val="0"/>
              <w:spacing w:before="0" w:after="283"/>
              <w:jc w:val="left"/>
              <w:rPr/>
            </w:pPr>
            <w:r>
              <w:rPr/>
              <w:t> </w:t>
            </w:r>
          </w:p>
        </w:tc>
        <w:tc>
          <w:tcPr>
            <w:tcW w:w="123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2026</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3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2025</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3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amount</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1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w:t>
            </w:r>
          </w:p>
        </w:tc>
        <w:tc>
          <w:tcPr>
            <w:tcW w:w="275" w:type="dxa"/>
            <w:tcBorders/>
            <w:vAlign w:val="center"/>
          </w:tcPr>
          <w:p>
            <w:pPr>
              <w:pStyle w:val="TableContents"/>
              <w:bidi w:val="0"/>
              <w:spacing w:before="0" w:after="283"/>
              <w:jc w:val="left"/>
              <w:rPr/>
            </w:pPr>
            <w:r>
              <w:rPr/>
              <w:t> </w:t>
            </w:r>
          </w:p>
        </w:tc>
      </w:tr>
      <w:tr>
        <w:trPr/>
        <w:tc>
          <w:tcPr>
            <w:tcW w:w="5185" w:type="dxa"/>
            <w:tcBorders/>
            <w:shd w:fill="CCEEFF" w:val="clear"/>
            <w:vAlign w:val="center"/>
          </w:tcPr>
          <w:p>
            <w:pPr>
              <w:pStyle w:val="TableContents"/>
              <w:bidi w:val="0"/>
              <w:spacing w:before="0" w:after="283"/>
              <w:jc w:val="left"/>
              <w:rPr>
                <w:b/>
              </w:rPr>
            </w:pPr>
            <w:r>
              <w:rPr>
                <w:b/>
              </w:rPr>
              <w:t>Net loss</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b/>
              </w:rPr>
            </w:pPr>
            <w:r>
              <w:rPr>
                <w:b/>
              </w:rPr>
              <w:t>(22,516,222</w:t>
            </w:r>
          </w:p>
        </w:tc>
        <w:tc>
          <w:tcPr>
            <w:tcW w:w="95" w:type="dxa"/>
            <w:tcBorders/>
            <w:shd w:fill="CCEEFF" w:val="clear"/>
            <w:vAlign w:val="center"/>
          </w:tcPr>
          <w:p>
            <w:pPr>
              <w:pStyle w:val="TableContents"/>
              <w:bidi w:val="0"/>
              <w:spacing w:before="0" w:after="283"/>
              <w:jc w:val="left"/>
              <w:rPr>
                <w:b/>
              </w:rPr>
            </w:pPr>
            <w:r>
              <w:rPr>
                <w:b/>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b/>
              </w:rPr>
            </w:pPr>
            <w:r>
              <w:rPr>
                <w:b/>
              </w:rPr>
              <w:t>(72,870,432</w:t>
            </w:r>
          </w:p>
        </w:tc>
        <w:tc>
          <w:tcPr>
            <w:tcW w:w="95" w:type="dxa"/>
            <w:tcBorders/>
            <w:shd w:fill="CCEEFF" w:val="clear"/>
            <w:vAlign w:val="center"/>
          </w:tcPr>
          <w:p>
            <w:pPr>
              <w:pStyle w:val="TableContents"/>
              <w:bidi w:val="0"/>
              <w:spacing w:before="0" w:after="283"/>
              <w:jc w:val="left"/>
              <w:rPr>
                <w:b/>
              </w:rPr>
            </w:pPr>
            <w:r>
              <w:rPr>
                <w:b/>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b/>
              </w:rPr>
            </w:pPr>
            <w:r>
              <w:rPr>
                <w:b/>
              </w:rPr>
              <w:t>50,354,210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455" w:type="dxa"/>
            <w:tcBorders/>
            <w:shd w:fill="CCEEFF" w:val="clear"/>
            <w:vAlign w:val="center"/>
          </w:tcPr>
          <w:p>
            <w:pPr>
              <w:pStyle w:val="TableContents"/>
              <w:bidi w:val="0"/>
              <w:spacing w:before="0" w:after="283"/>
              <w:jc w:val="right"/>
              <w:rPr>
                <w:b/>
              </w:rPr>
            </w:pPr>
            <w:r>
              <w:rPr>
                <w:b/>
              </w:rPr>
              <w:t>-69</w:t>
            </w:r>
          </w:p>
        </w:tc>
        <w:tc>
          <w:tcPr>
            <w:tcW w:w="275" w:type="dxa"/>
            <w:tcBorders/>
            <w:shd w:fill="CCEEFF" w:val="clear"/>
            <w:vAlign w:val="center"/>
          </w:tcPr>
          <w:p>
            <w:pPr>
              <w:pStyle w:val="TableContents"/>
              <w:bidi w:val="0"/>
              <w:spacing w:before="0" w:after="283"/>
              <w:jc w:val="left"/>
              <w:rPr>
                <w:b/>
              </w:rPr>
            </w:pPr>
            <w:r>
              <w:rPr>
                <w:b/>
              </w:rPr>
              <w:t>%</w:t>
            </w:r>
          </w:p>
        </w:tc>
      </w:tr>
      <w:tr>
        <w:trPr/>
        <w:tc>
          <w:tcPr>
            <w:tcW w:w="5185" w:type="dxa"/>
            <w:tcBorders/>
            <w:shd w:fill="FFFFFF" w:val="clear"/>
            <w:vAlign w:val="center"/>
          </w:tcPr>
          <w:p>
            <w:pPr>
              <w:pStyle w:val="TableContents"/>
              <w:bidi w:val="0"/>
              <w:spacing w:before="0" w:after="283"/>
              <w:jc w:val="left"/>
              <w:rPr/>
            </w:pPr>
            <w:r>
              <w:rPr/>
              <w:t>Adjusted for:</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455" w:type="dxa"/>
            <w:tcBorders/>
            <w:shd w:fill="FFFFFF" w:val="clear"/>
            <w:vAlign w:val="center"/>
          </w:tcPr>
          <w:p>
            <w:pPr>
              <w:pStyle w:val="TableContents"/>
              <w:bidi w:val="0"/>
              <w:spacing w:before="0" w:after="283"/>
              <w:jc w:val="right"/>
              <w:rPr/>
            </w:pPr>
            <w:r>
              <w:rPr/>
              <w:t> </w:t>
            </w:r>
          </w:p>
        </w:tc>
        <w:tc>
          <w:tcPr>
            <w:tcW w:w="275" w:type="dxa"/>
            <w:tcBorders/>
            <w:shd w:fill="FFFFFF" w:val="clear"/>
            <w:vAlign w:val="center"/>
          </w:tcPr>
          <w:p>
            <w:pPr>
              <w:pStyle w:val="TableContents"/>
              <w:bidi w:val="0"/>
              <w:spacing w:before="0" w:after="283"/>
              <w:jc w:val="left"/>
              <w:rPr/>
            </w:pPr>
            <w:r>
              <w:rPr/>
              <w:t> </w:t>
            </w:r>
          </w:p>
        </w:tc>
      </w:tr>
      <w:tr>
        <w:trPr/>
        <w:tc>
          <w:tcPr>
            <w:tcW w:w="5185" w:type="dxa"/>
            <w:tcBorders/>
            <w:shd w:fill="CCEEFF" w:val="clear"/>
            <w:vAlign w:val="center"/>
          </w:tcPr>
          <w:p>
            <w:pPr>
              <w:pStyle w:val="TableContents"/>
              <w:bidi w:val="0"/>
              <w:spacing w:before="0" w:after="283"/>
              <w:jc w:val="left"/>
              <w:rPr/>
            </w:pPr>
            <w:r>
              <w:rPr/>
              <w:t>Other (income)/expense net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(2,329,515</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(7,073,235</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4,743,720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455" w:type="dxa"/>
            <w:tcBorders/>
            <w:shd w:fill="CCEEFF" w:val="clear"/>
            <w:vAlign w:val="center"/>
          </w:tcPr>
          <w:p>
            <w:pPr>
              <w:pStyle w:val="TableContents"/>
              <w:bidi w:val="0"/>
              <w:spacing w:before="0" w:after="283"/>
              <w:jc w:val="right"/>
              <w:rPr/>
            </w:pPr>
            <w:r>
              <w:rPr/>
              <w:t>-67</w:t>
            </w:r>
          </w:p>
        </w:tc>
        <w:tc>
          <w:tcPr>
            <w:tcW w:w="275" w:type="dxa"/>
            <w:tcBorders/>
            <w:shd w:fill="CCEEFF" w:val="clear"/>
            <w:vAlign w:val="center"/>
          </w:tcPr>
          <w:p>
            <w:pPr>
              <w:pStyle w:val="TableContents"/>
              <w:bidi w:val="0"/>
              <w:spacing w:before="0" w:after="283"/>
              <w:jc w:val="left"/>
              <w:rPr/>
            </w:pPr>
            <w:r>
              <w:rPr/>
              <w:t>%</w:t>
            </w:r>
          </w:p>
        </w:tc>
      </w:tr>
      <w:tr>
        <w:trPr/>
        <w:tc>
          <w:tcPr>
            <w:tcW w:w="5185" w:type="dxa"/>
            <w:tcBorders/>
            <w:shd w:fill="FFFFFF" w:val="clear"/>
            <w:vAlign w:val="center"/>
          </w:tcPr>
          <w:p>
            <w:pPr>
              <w:pStyle w:val="TableContents"/>
              <w:bidi w:val="0"/>
              <w:spacing w:before="0" w:after="283"/>
              <w:jc w:val="left"/>
              <w:rPr/>
            </w:pPr>
            <w:r>
              <w:rPr/>
              <w:t>Interest (income)/expense</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pPr>
            <w:r>
              <w:rPr/>
              <w:t>7,249,803</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pPr>
            <w:r>
              <w:rPr/>
              <w:t>3,247,831</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pPr>
            <w:r>
              <w:rPr/>
              <w:t>4,001,972</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455" w:type="dxa"/>
            <w:tcBorders/>
            <w:shd w:fill="FFFFFF" w:val="clear"/>
            <w:vAlign w:val="center"/>
          </w:tcPr>
          <w:p>
            <w:pPr>
              <w:pStyle w:val="TableContents"/>
              <w:bidi w:val="0"/>
              <w:spacing w:before="0" w:after="283"/>
              <w:jc w:val="right"/>
              <w:rPr/>
            </w:pPr>
            <w:r>
              <w:rPr/>
              <w:t>123</w:t>
            </w:r>
          </w:p>
        </w:tc>
        <w:tc>
          <w:tcPr>
            <w:tcW w:w="275" w:type="dxa"/>
            <w:tcBorders/>
            <w:shd w:fill="FFFFFF" w:val="clear"/>
            <w:vAlign w:val="center"/>
          </w:tcPr>
          <w:p>
            <w:pPr>
              <w:pStyle w:val="TableContents"/>
              <w:bidi w:val="0"/>
              <w:spacing w:before="0" w:after="283"/>
              <w:jc w:val="left"/>
              <w:rPr/>
            </w:pPr>
            <w:r>
              <w:rPr/>
              <w:t>%</w:t>
            </w:r>
          </w:p>
        </w:tc>
      </w:tr>
      <w:tr>
        <w:trPr/>
        <w:tc>
          <w:tcPr>
            <w:tcW w:w="5185" w:type="dxa"/>
            <w:tcBorders/>
            <w:shd w:fill="CCEEFF" w:val="clear"/>
            <w:vAlign w:val="center"/>
          </w:tcPr>
          <w:p>
            <w:pPr>
              <w:pStyle w:val="TableContents"/>
              <w:bidi w:val="0"/>
              <w:spacing w:before="0" w:after="283"/>
              <w:jc w:val="left"/>
              <w:rPr/>
            </w:pPr>
            <w:r>
              <w:rPr/>
              <w:t>Gain on bargain purchase</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(174,248</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(174,248</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455" w:type="dxa"/>
            <w:tcBorders/>
            <w:shd w:fill="CCEEFF" w:val="clear"/>
            <w:vAlign w:val="center"/>
          </w:tcPr>
          <w:p>
            <w:pPr>
              <w:pStyle w:val="TableContents"/>
              <w:bidi w:val="0"/>
              <w:spacing w:before="0" w:after="283"/>
              <w:jc w:val="right"/>
              <w:rPr/>
            </w:pPr>
            <w:r>
              <w:rPr/>
              <w:t>100</w:t>
            </w:r>
          </w:p>
        </w:tc>
        <w:tc>
          <w:tcPr>
            <w:tcW w:w="275" w:type="dxa"/>
            <w:tcBorders/>
            <w:shd w:fill="CCEEFF" w:val="clear"/>
            <w:vAlign w:val="center"/>
          </w:tcPr>
          <w:p>
            <w:pPr>
              <w:pStyle w:val="TableContents"/>
              <w:bidi w:val="0"/>
              <w:spacing w:before="0" w:after="283"/>
              <w:jc w:val="left"/>
              <w:rPr/>
            </w:pPr>
            <w:r>
              <w:rPr/>
              <w:t>%</w:t>
            </w:r>
          </w:p>
        </w:tc>
      </w:tr>
      <w:tr>
        <w:trPr/>
        <w:tc>
          <w:tcPr>
            <w:tcW w:w="518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Fair value changes in financial instruments carried at fair value</w:t>
            </w:r>
            <w:r>
              <w:rPr>
                <w:rFonts w:ascii="Times New Roman;Times;Serif" w:hAnsi="Times New Roman;Times;Serif"/>
                <w:position w:val="7"/>
                <w:sz w:val="16"/>
                <w:sz w:val="20"/>
              </w:rPr>
              <w:t>(1)</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pPr>
            <w:r>
              <w:rPr/>
              <w:t>3,984,386</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pPr>
            <w:r>
              <w:rPr/>
              <w:t>14,844,420</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pPr>
            <w:r>
              <w:rPr/>
              <w:t>(10,860,034</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455" w:type="dxa"/>
            <w:tcBorders/>
            <w:shd w:fill="FFFFFF" w:val="clear"/>
            <w:vAlign w:val="center"/>
          </w:tcPr>
          <w:p>
            <w:pPr>
              <w:pStyle w:val="TableContents"/>
              <w:bidi w:val="0"/>
              <w:spacing w:before="0" w:after="283"/>
              <w:jc w:val="right"/>
              <w:rPr/>
            </w:pPr>
            <w:r>
              <w:rPr/>
              <w:t>-73</w:t>
            </w:r>
          </w:p>
        </w:tc>
        <w:tc>
          <w:tcPr>
            <w:tcW w:w="275" w:type="dxa"/>
            <w:tcBorders/>
            <w:shd w:fill="FFFFFF" w:val="clear"/>
            <w:vAlign w:val="center"/>
          </w:tcPr>
          <w:p>
            <w:pPr>
              <w:pStyle w:val="TableContents"/>
              <w:bidi w:val="0"/>
              <w:spacing w:before="0" w:after="283"/>
              <w:jc w:val="left"/>
              <w:rPr/>
            </w:pPr>
            <w:r>
              <w:rPr/>
              <w:t>%</w:t>
            </w:r>
          </w:p>
        </w:tc>
      </w:tr>
      <w:tr>
        <w:trPr/>
        <w:tc>
          <w:tcPr>
            <w:tcW w:w="5185" w:type="dxa"/>
            <w:tcBorders/>
            <w:shd w:fill="CCEEFF" w:val="clear"/>
            <w:vAlign w:val="center"/>
          </w:tcPr>
          <w:p>
            <w:pPr>
              <w:pStyle w:val="TableContents"/>
              <w:bidi w:val="0"/>
              <w:spacing w:before="0" w:after="283"/>
              <w:jc w:val="left"/>
              <w:rPr/>
            </w:pPr>
            <w:r>
              <w:rPr/>
              <w:t>Gain on deconsolidation of subsidiaries</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455" w:type="dxa"/>
            <w:tcBorders/>
            <w:shd w:fill="CCEEFF" w:val="clear"/>
            <w:vAlign w:val="center"/>
          </w:tcPr>
          <w:p>
            <w:pPr>
              <w:pStyle w:val="TableContents"/>
              <w:bidi w:val="0"/>
              <w:spacing w:before="0" w:after="283"/>
              <w:jc w:val="right"/>
              <w:rPr/>
            </w:pPr>
            <w:r>
              <w:rPr/>
              <w:t>100</w:t>
            </w:r>
          </w:p>
        </w:tc>
        <w:tc>
          <w:tcPr>
            <w:tcW w:w="275" w:type="dxa"/>
            <w:tcBorders/>
            <w:shd w:fill="CCEEFF" w:val="clear"/>
            <w:vAlign w:val="center"/>
          </w:tcPr>
          <w:p>
            <w:pPr>
              <w:pStyle w:val="TableContents"/>
              <w:bidi w:val="0"/>
              <w:spacing w:before="0" w:after="283"/>
              <w:jc w:val="left"/>
              <w:rPr/>
            </w:pPr>
            <w:r>
              <w:rPr/>
              <w:t>%</w:t>
            </w:r>
          </w:p>
        </w:tc>
      </w:tr>
      <w:tr>
        <w:trPr/>
        <w:tc>
          <w:tcPr>
            <w:tcW w:w="5185" w:type="dxa"/>
            <w:tcBorders/>
            <w:shd w:fill="FFFFFF" w:val="clear"/>
            <w:vAlign w:val="center"/>
          </w:tcPr>
          <w:p>
            <w:pPr>
              <w:pStyle w:val="TableContents"/>
              <w:bidi w:val="0"/>
              <w:spacing w:before="0" w:after="283"/>
              <w:jc w:val="left"/>
              <w:rPr/>
            </w:pPr>
            <w:r>
              <w:rPr/>
              <w:t>Impairment of goodwill and intangibles with definite life</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455" w:type="dxa"/>
            <w:tcBorders/>
            <w:shd w:fill="FFFFFF" w:val="clear"/>
            <w:vAlign w:val="center"/>
          </w:tcPr>
          <w:p>
            <w:pPr>
              <w:pStyle w:val="TableContents"/>
              <w:bidi w:val="0"/>
              <w:spacing w:before="0" w:after="283"/>
              <w:jc w:val="right"/>
              <w:rPr/>
            </w:pPr>
            <w:r>
              <w:rPr/>
              <w:t>-</w:t>
            </w:r>
          </w:p>
        </w:tc>
        <w:tc>
          <w:tcPr>
            <w:tcW w:w="275" w:type="dxa"/>
            <w:tcBorders/>
            <w:shd w:fill="FFFFFF" w:val="clear"/>
            <w:vAlign w:val="center"/>
          </w:tcPr>
          <w:p>
            <w:pPr>
              <w:pStyle w:val="TableContents"/>
              <w:bidi w:val="0"/>
              <w:spacing w:before="0" w:after="283"/>
              <w:jc w:val="left"/>
              <w:rPr/>
            </w:pPr>
            <w:r>
              <w:rPr/>
              <w:t> </w:t>
            </w:r>
          </w:p>
        </w:tc>
      </w:tr>
      <w:tr>
        <w:trPr/>
        <w:tc>
          <w:tcPr>
            <w:tcW w:w="5185" w:type="dxa"/>
            <w:tcBorders/>
            <w:shd w:fill="CCEEFF" w:val="clear"/>
            <w:vAlign w:val="center"/>
          </w:tcPr>
          <w:p>
            <w:pPr>
              <w:pStyle w:val="TableContents"/>
              <w:bidi w:val="0"/>
              <w:spacing w:before="0" w:after="283"/>
              <w:jc w:val="left"/>
              <w:rPr/>
            </w:pPr>
            <w:r>
              <w:rPr/>
              <w:t>Impairment of investment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455" w:type="dxa"/>
            <w:tcBorders/>
            <w:shd w:fill="CCEEFF" w:val="clear"/>
            <w:vAlign w:val="center"/>
          </w:tcPr>
          <w:p>
            <w:pPr>
              <w:pStyle w:val="TableContents"/>
              <w:bidi w:val="0"/>
              <w:spacing w:before="0" w:after="283"/>
              <w:jc w:val="right"/>
              <w:rPr/>
            </w:pPr>
            <w:r>
              <w:rPr/>
              <w:t>-</w:t>
            </w:r>
          </w:p>
        </w:tc>
        <w:tc>
          <w:tcPr>
            <w:tcW w:w="275" w:type="dxa"/>
            <w:tcBorders/>
            <w:shd w:fill="CCEEFF" w:val="clear"/>
            <w:vAlign w:val="center"/>
          </w:tcPr>
          <w:p>
            <w:pPr>
              <w:pStyle w:val="TableContents"/>
              <w:bidi w:val="0"/>
              <w:spacing w:before="0" w:after="283"/>
              <w:jc w:val="left"/>
              <w:rPr/>
            </w:pPr>
            <w:r>
              <w:rPr/>
              <w:t> </w:t>
            </w:r>
          </w:p>
        </w:tc>
      </w:tr>
      <w:tr>
        <w:trPr/>
        <w:tc>
          <w:tcPr>
            <w:tcW w:w="5185" w:type="dxa"/>
            <w:tcBorders/>
            <w:shd w:fill="FFFFFF" w:val="clear"/>
            <w:vAlign w:val="center"/>
          </w:tcPr>
          <w:p>
            <w:pPr>
              <w:pStyle w:val="TableContents"/>
              <w:bidi w:val="0"/>
              <w:spacing w:before="0" w:after="283"/>
              <w:jc w:val="left"/>
              <w:rPr/>
            </w:pPr>
            <w:r>
              <w:rPr/>
              <w:t>Impairment of investment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pPr>
            <w:r>
              <w:rPr/>
              <w:t>269,470</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pPr>
            <w:r>
              <w:rPr/>
              <w:t>1,245,326</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pPr>
            <w:r>
              <w:rPr/>
              <w:t>(975,856</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455" w:type="dxa"/>
            <w:tcBorders/>
            <w:shd w:fill="FFFFFF" w:val="clear"/>
            <w:vAlign w:val="center"/>
          </w:tcPr>
          <w:p>
            <w:pPr>
              <w:pStyle w:val="TableContents"/>
              <w:bidi w:val="0"/>
              <w:spacing w:before="0" w:after="283"/>
              <w:jc w:val="right"/>
              <w:rPr/>
            </w:pPr>
            <w:r>
              <w:rPr/>
              <w:t>-78</w:t>
            </w:r>
          </w:p>
        </w:tc>
        <w:tc>
          <w:tcPr>
            <w:tcW w:w="275" w:type="dxa"/>
            <w:tcBorders/>
            <w:shd w:fill="FFFFFF" w:val="clear"/>
            <w:vAlign w:val="center"/>
          </w:tcPr>
          <w:p>
            <w:pPr>
              <w:pStyle w:val="TableContents"/>
              <w:bidi w:val="0"/>
              <w:spacing w:before="0" w:after="283"/>
              <w:jc w:val="left"/>
              <w:rPr/>
            </w:pPr>
            <w:r>
              <w:rPr/>
              <w:t>%</w:t>
            </w:r>
          </w:p>
        </w:tc>
      </w:tr>
      <w:tr>
        <w:trPr/>
        <w:tc>
          <w:tcPr>
            <w:tcW w:w="5185" w:type="dxa"/>
            <w:tcBorders/>
            <w:shd w:fill="CCEEFF" w:val="clear"/>
            <w:vAlign w:val="center"/>
          </w:tcPr>
          <w:p>
            <w:pPr>
              <w:pStyle w:val="TableContents"/>
              <w:bidi w:val="0"/>
              <w:spacing w:before="0" w:after="283"/>
              <w:jc w:val="left"/>
              <w:rPr/>
            </w:pPr>
            <w:r>
              <w:rPr/>
              <w:t>Tax (benefit)/expense</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20,212</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(13,973</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34,185</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455" w:type="dxa"/>
            <w:tcBorders/>
            <w:shd w:fill="CCEEFF" w:val="clear"/>
            <w:vAlign w:val="center"/>
          </w:tcPr>
          <w:p>
            <w:pPr>
              <w:pStyle w:val="TableContents"/>
              <w:bidi w:val="0"/>
              <w:spacing w:before="0" w:after="283"/>
              <w:jc w:val="right"/>
              <w:rPr/>
            </w:pPr>
            <w:r>
              <w:rPr/>
              <w:t>-245</w:t>
            </w:r>
          </w:p>
        </w:tc>
        <w:tc>
          <w:tcPr>
            <w:tcW w:w="275" w:type="dxa"/>
            <w:tcBorders/>
            <w:shd w:fill="CCEEFF" w:val="clear"/>
            <w:vAlign w:val="center"/>
          </w:tcPr>
          <w:p>
            <w:pPr>
              <w:pStyle w:val="TableContents"/>
              <w:bidi w:val="0"/>
              <w:spacing w:before="0" w:after="283"/>
              <w:jc w:val="left"/>
              <w:rPr/>
            </w:pPr>
            <w:r>
              <w:rPr/>
              <w:t>%</w:t>
            </w:r>
          </w:p>
        </w:tc>
      </w:tr>
      <w:tr>
        <w:trPr/>
        <w:tc>
          <w:tcPr>
            <w:tcW w:w="5185" w:type="dxa"/>
            <w:tcBorders/>
            <w:shd w:fill="FFFFFF" w:val="clear"/>
            <w:vAlign w:val="center"/>
          </w:tcPr>
          <w:p>
            <w:pPr>
              <w:pStyle w:val="TableContents"/>
              <w:bidi w:val="0"/>
              <w:spacing w:before="0" w:after="283"/>
              <w:jc w:val="left"/>
              <w:rPr/>
            </w:pPr>
            <w:r>
              <w:rPr/>
              <w:t>Depreciation and amortization</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pPr>
            <w:r>
              <w:rPr/>
              <w:t>2,244,268</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pPr>
            <w:r>
              <w:rPr/>
              <w:t>2,020,610</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pPr>
            <w:r>
              <w:rPr/>
              <w:t>223,658</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455" w:type="dxa"/>
            <w:tcBorders/>
            <w:shd w:fill="FFFFFF" w:val="clear"/>
            <w:vAlign w:val="center"/>
          </w:tcPr>
          <w:p>
            <w:pPr>
              <w:pStyle w:val="TableContents"/>
              <w:bidi w:val="0"/>
              <w:spacing w:before="0" w:after="283"/>
              <w:jc w:val="right"/>
              <w:rPr/>
            </w:pPr>
            <w:r>
              <w:rPr/>
              <w:t>11</w:t>
            </w:r>
          </w:p>
        </w:tc>
        <w:tc>
          <w:tcPr>
            <w:tcW w:w="275" w:type="dxa"/>
            <w:tcBorders/>
            <w:shd w:fill="FFFFFF" w:val="clear"/>
            <w:vAlign w:val="center"/>
          </w:tcPr>
          <w:p>
            <w:pPr>
              <w:pStyle w:val="TableContents"/>
              <w:bidi w:val="0"/>
              <w:spacing w:before="0" w:after="283"/>
              <w:jc w:val="left"/>
              <w:rPr/>
            </w:pPr>
            <w:r>
              <w:rPr/>
              <w:t>%</w:t>
            </w:r>
          </w:p>
        </w:tc>
      </w:tr>
      <w:tr>
        <w:trPr/>
        <w:tc>
          <w:tcPr>
            <w:tcW w:w="5185" w:type="dxa"/>
            <w:tcBorders/>
            <w:shd w:fill="CCEEFF" w:val="clear"/>
            <w:vAlign w:val="center"/>
          </w:tcPr>
          <w:p>
            <w:pPr>
              <w:pStyle w:val="TableContents"/>
              <w:bidi w:val="0"/>
              <w:spacing w:before="0" w:after="283"/>
              <w:jc w:val="left"/>
              <w:rPr/>
            </w:pPr>
            <w:r>
              <w:rPr/>
              <w:t>Stock based compensation expense</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497,806</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47,211,816</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75" w:type="dxa"/>
            <w:tcBorders/>
            <w:shd w:fill="CCEEFF" w:val="clear"/>
            <w:vAlign w:val="center"/>
          </w:tcPr>
          <w:p>
            <w:pPr>
              <w:pStyle w:val="TableContents"/>
              <w:bidi w:val="0"/>
              <w:spacing w:before="0" w:after="283"/>
              <w:jc w:val="right"/>
              <w:rPr/>
            </w:pPr>
            <w:r>
              <w:rPr/>
              <w:t>(46,714,010</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455" w:type="dxa"/>
            <w:tcBorders/>
            <w:shd w:fill="CCEEFF" w:val="clear"/>
            <w:vAlign w:val="center"/>
          </w:tcPr>
          <w:p>
            <w:pPr>
              <w:pStyle w:val="TableContents"/>
              <w:bidi w:val="0"/>
              <w:spacing w:before="0" w:after="283"/>
              <w:jc w:val="right"/>
              <w:rPr/>
            </w:pPr>
            <w:r>
              <w:rPr/>
              <w:t>-99</w:t>
            </w:r>
          </w:p>
        </w:tc>
        <w:tc>
          <w:tcPr>
            <w:tcW w:w="275" w:type="dxa"/>
            <w:tcBorders/>
            <w:shd w:fill="CCEEFF" w:val="clear"/>
            <w:vAlign w:val="center"/>
          </w:tcPr>
          <w:p>
            <w:pPr>
              <w:pStyle w:val="TableContents"/>
              <w:bidi w:val="0"/>
              <w:spacing w:before="0" w:after="283"/>
              <w:jc w:val="left"/>
              <w:rPr/>
            </w:pPr>
            <w:r>
              <w:rPr/>
              <w:t>%</w:t>
            </w:r>
          </w:p>
        </w:tc>
      </w:tr>
      <w:tr>
        <w:trPr/>
        <w:tc>
          <w:tcPr>
            <w:tcW w:w="5185" w:type="dxa"/>
            <w:tcBorders/>
            <w:shd w:fill="FFFFFF" w:val="clear"/>
            <w:vAlign w:val="center"/>
          </w:tcPr>
          <w:p>
            <w:pPr>
              <w:pStyle w:val="TableContents"/>
              <w:bidi w:val="0"/>
              <w:spacing w:before="0" w:after="283"/>
              <w:jc w:val="left"/>
              <w:rPr/>
            </w:pPr>
            <w:r>
              <w:rPr/>
              <w:t>Non-cash expenses</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pPr>
            <w:r>
              <w:rPr/>
              <w:t>2,990,808</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pPr>
            <w:r>
              <w:rPr/>
              <w:t>1,649,448</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right"/>
              <w:rPr/>
            </w:pPr>
            <w:r>
              <w:rPr/>
              <w:t>1,341,360</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455" w:type="dxa"/>
            <w:tcBorders/>
            <w:shd w:fill="FFFFFF" w:val="clear"/>
            <w:vAlign w:val="center"/>
          </w:tcPr>
          <w:p>
            <w:pPr>
              <w:pStyle w:val="TableContents"/>
              <w:bidi w:val="0"/>
              <w:spacing w:before="0" w:after="283"/>
              <w:jc w:val="right"/>
              <w:rPr/>
            </w:pPr>
            <w:r>
              <w:rPr/>
              <w:t>81</w:t>
            </w:r>
          </w:p>
        </w:tc>
        <w:tc>
          <w:tcPr>
            <w:tcW w:w="275" w:type="dxa"/>
            <w:tcBorders/>
            <w:shd w:fill="FFFFFF" w:val="clear"/>
            <w:vAlign w:val="center"/>
          </w:tcPr>
          <w:p>
            <w:pPr>
              <w:pStyle w:val="TableContents"/>
              <w:bidi w:val="0"/>
              <w:spacing w:before="0" w:after="283"/>
              <w:jc w:val="left"/>
              <w:rPr/>
            </w:pPr>
            <w:r>
              <w:rPr/>
              <w:t>%</w:t>
            </w:r>
          </w:p>
        </w:tc>
      </w:tr>
      <w:tr>
        <w:trPr/>
        <w:tc>
          <w:tcPr>
            <w:tcW w:w="5185" w:type="dxa"/>
            <w:tcBorders/>
            <w:shd w:fill="CCEEFF" w:val="clear"/>
            <w:vAlign w:val="center"/>
          </w:tcPr>
          <w:p>
            <w:pPr>
              <w:pStyle w:val="TableContents"/>
              <w:bidi w:val="0"/>
              <w:spacing w:before="0" w:after="283"/>
              <w:jc w:val="left"/>
              <w:rPr/>
            </w:pPr>
            <w:r>
              <w:rPr/>
              <w:t>Non-recurring expenses</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175" w:type="dxa"/>
            <w:tcBorders>
              <w:bottom w:val="single" w:sz="8" w:space="0" w:color="000000"/>
            </w:tcBorders>
            <w:shd w:fill="CCEEFF" w:val="clear"/>
            <w:tcMar>
              <w:bottom w:w="28" w:type="dxa"/>
            </w:tcMar>
            <w:vAlign w:val="center"/>
          </w:tcPr>
          <w:p>
            <w:pPr>
              <w:pStyle w:val="TableContents"/>
              <w:bidi w:val="0"/>
              <w:spacing w:before="0" w:after="283"/>
              <w:jc w:val="right"/>
              <w:rPr/>
            </w:pPr>
            <w:r>
              <w:rPr/>
              <w:t>4,252,368</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175" w:type="dxa"/>
            <w:tcBorders>
              <w:bottom w:val="single" w:sz="8" w:space="0" w:color="000000"/>
            </w:tcBorders>
            <w:shd w:fill="CCEEFF" w:val="clear"/>
            <w:tcMar>
              <w:bottom w:w="28" w:type="dxa"/>
            </w:tcMar>
            <w:vAlign w:val="center"/>
          </w:tcPr>
          <w:p>
            <w:pPr>
              <w:pStyle w:val="TableContents"/>
              <w:bidi w:val="0"/>
              <w:spacing w:before="0" w:after="283"/>
              <w:jc w:val="right"/>
              <w:rPr/>
            </w:pPr>
            <w:r>
              <w:rPr/>
              <w:t>1,340,062</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175" w:type="dxa"/>
            <w:tcBorders>
              <w:bottom w:val="single" w:sz="8" w:space="0" w:color="000000"/>
            </w:tcBorders>
            <w:shd w:fill="CCEEFF" w:val="clear"/>
            <w:tcMar>
              <w:bottom w:w="28" w:type="dxa"/>
            </w:tcMar>
            <w:vAlign w:val="center"/>
          </w:tcPr>
          <w:p>
            <w:pPr>
              <w:pStyle w:val="TableContents"/>
              <w:bidi w:val="0"/>
              <w:spacing w:before="0" w:after="283"/>
              <w:jc w:val="right"/>
              <w:rPr/>
            </w:pPr>
            <w:r>
              <w:rPr/>
              <w:t>2,912,306</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455" w:type="dxa"/>
            <w:tcBorders>
              <w:bottom w:val="single" w:sz="8" w:space="0" w:color="000000"/>
            </w:tcBorders>
            <w:shd w:fill="CCEEFF" w:val="clear"/>
            <w:tcMar>
              <w:bottom w:w="28" w:type="dxa"/>
            </w:tcMar>
            <w:vAlign w:val="center"/>
          </w:tcPr>
          <w:p>
            <w:pPr>
              <w:pStyle w:val="TableContents"/>
              <w:bidi w:val="0"/>
              <w:spacing w:before="0" w:after="283"/>
              <w:jc w:val="right"/>
              <w:rPr/>
            </w:pPr>
            <w:r>
              <w:rPr/>
              <w:t>217</w:t>
            </w:r>
          </w:p>
        </w:tc>
        <w:tc>
          <w:tcPr>
            <w:tcW w:w="275" w:type="dxa"/>
            <w:tcBorders/>
            <w:shd w:fill="CCEEFF" w:val="clear"/>
            <w:vAlign w:val="center"/>
          </w:tcPr>
          <w:p>
            <w:pPr>
              <w:pStyle w:val="TableContents"/>
              <w:bidi w:val="0"/>
              <w:spacing w:before="0" w:after="283"/>
              <w:jc w:val="left"/>
              <w:rPr/>
            </w:pPr>
            <w:r>
              <w:rPr/>
              <w:t>%</w:t>
            </w:r>
          </w:p>
        </w:tc>
      </w:tr>
      <w:tr>
        <w:trPr/>
        <w:tc>
          <w:tcPr>
            <w:tcW w:w="5185" w:type="dxa"/>
            <w:tcBorders/>
            <w:shd w:fill="FFFFFF" w:val="clear"/>
            <w:vAlign w:val="center"/>
          </w:tcPr>
          <w:p>
            <w:pPr>
              <w:pStyle w:val="TableContents"/>
              <w:bidi w:val="0"/>
              <w:spacing w:before="0" w:after="283"/>
              <w:jc w:val="left"/>
              <w:rPr>
                <w:b/>
              </w:rPr>
            </w:pPr>
            <w:r>
              <w:rPr>
                <w:b/>
              </w:rPr>
              <w:t>Adjusted EBITDA</w:t>
            </w:r>
          </w:p>
        </w:tc>
        <w:tc>
          <w:tcPr>
            <w:tcW w:w="60" w:type="dxa"/>
            <w:tcBorders/>
            <w:shd w:fill="FFFFFF" w:val="clear"/>
            <w:vAlign w:val="center"/>
          </w:tcPr>
          <w:p>
            <w:pPr>
              <w:pStyle w:val="TableContents"/>
              <w:bidi w:val="0"/>
              <w:spacing w:before="0" w:after="283"/>
              <w:jc w:val="left"/>
              <w:rPr/>
            </w:pPr>
            <w:r>
              <w:rPr/>
              <w:t> </w:t>
            </w:r>
          </w:p>
        </w:tc>
        <w:tc>
          <w:tcPr>
            <w:tcW w:w="60"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1175" w:type="dxa"/>
            <w:tcBorders>
              <w:bottom w:val="double" w:sz="6" w:space="0" w:color="000000"/>
            </w:tcBorders>
            <w:shd w:fill="FFFFFF" w:val="clear"/>
            <w:tcMar>
              <w:bottom w:w="28" w:type="dxa"/>
            </w:tcMar>
            <w:vAlign w:val="center"/>
          </w:tcPr>
          <w:p>
            <w:pPr>
              <w:pStyle w:val="TableContents"/>
              <w:bidi w:val="0"/>
              <w:spacing w:before="0" w:after="283"/>
              <w:jc w:val="right"/>
              <w:rPr>
                <w:b/>
              </w:rPr>
            </w:pPr>
            <w:r>
              <w:rPr>
                <w:b/>
              </w:rPr>
              <w:t>(3,510,864</w:t>
            </w:r>
          </w:p>
        </w:tc>
        <w:tc>
          <w:tcPr>
            <w:tcW w:w="95" w:type="dxa"/>
            <w:tcBorders/>
            <w:shd w:fill="FFFFFF" w:val="clear"/>
            <w:vAlign w:val="center"/>
          </w:tcPr>
          <w:p>
            <w:pPr>
              <w:pStyle w:val="TableContents"/>
              <w:bidi w:val="0"/>
              <w:spacing w:before="0" w:after="283"/>
              <w:jc w:val="left"/>
              <w:rPr>
                <w:b/>
              </w:rPr>
            </w:pPr>
            <w:r>
              <w:rPr>
                <w:b/>
              </w:rPr>
              <w:t>)</w:t>
            </w:r>
          </w:p>
        </w:tc>
        <w:tc>
          <w:tcPr>
            <w:tcW w:w="60" w:type="dxa"/>
            <w:tcBorders/>
            <w:shd w:fill="FFFFFF" w:val="clear"/>
            <w:vAlign w:val="center"/>
          </w:tcPr>
          <w:p>
            <w:pPr>
              <w:pStyle w:val="TableContents"/>
              <w:bidi w:val="0"/>
              <w:spacing w:before="0" w:after="283"/>
              <w:jc w:val="left"/>
              <w:rPr/>
            </w:pPr>
            <w:r>
              <w:rPr/>
              <w:t> </w:t>
            </w:r>
          </w:p>
        </w:tc>
        <w:tc>
          <w:tcPr>
            <w:tcW w:w="60"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1175" w:type="dxa"/>
            <w:tcBorders>
              <w:bottom w:val="double" w:sz="6" w:space="0" w:color="000000"/>
            </w:tcBorders>
            <w:shd w:fill="FFFFFF" w:val="clear"/>
            <w:tcMar>
              <w:bottom w:w="28" w:type="dxa"/>
            </w:tcMar>
            <w:vAlign w:val="center"/>
          </w:tcPr>
          <w:p>
            <w:pPr>
              <w:pStyle w:val="TableContents"/>
              <w:bidi w:val="0"/>
              <w:spacing w:before="0" w:after="283"/>
              <w:jc w:val="right"/>
              <w:rPr>
                <w:b/>
              </w:rPr>
            </w:pPr>
            <w:r>
              <w:rPr>
                <w:b/>
              </w:rPr>
              <w:t>(8,398,127</w:t>
            </w:r>
          </w:p>
        </w:tc>
        <w:tc>
          <w:tcPr>
            <w:tcW w:w="95" w:type="dxa"/>
            <w:tcBorders/>
            <w:shd w:fill="FFFFFF" w:val="clear"/>
            <w:vAlign w:val="center"/>
          </w:tcPr>
          <w:p>
            <w:pPr>
              <w:pStyle w:val="TableContents"/>
              <w:bidi w:val="0"/>
              <w:spacing w:before="0" w:after="283"/>
              <w:jc w:val="left"/>
              <w:rPr>
                <w:b/>
              </w:rPr>
            </w:pPr>
            <w:r>
              <w:rPr>
                <w:b/>
              </w:rPr>
              <w:t>)</w:t>
            </w:r>
          </w:p>
        </w:tc>
        <w:tc>
          <w:tcPr>
            <w:tcW w:w="60" w:type="dxa"/>
            <w:tcBorders/>
            <w:shd w:fill="FFFFFF" w:val="clear"/>
            <w:vAlign w:val="center"/>
          </w:tcPr>
          <w:p>
            <w:pPr>
              <w:pStyle w:val="TableContents"/>
              <w:bidi w:val="0"/>
              <w:spacing w:before="0" w:after="283"/>
              <w:jc w:val="left"/>
              <w:rPr/>
            </w:pPr>
            <w:r>
              <w:rPr/>
              <w:t> </w:t>
            </w:r>
          </w:p>
        </w:tc>
        <w:tc>
          <w:tcPr>
            <w:tcW w:w="60"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1175" w:type="dxa"/>
            <w:tcBorders>
              <w:bottom w:val="double" w:sz="6" w:space="0" w:color="000000"/>
            </w:tcBorders>
            <w:shd w:fill="FFFFFF" w:val="clear"/>
            <w:tcMar>
              <w:bottom w:w="28" w:type="dxa"/>
            </w:tcMar>
            <w:vAlign w:val="center"/>
          </w:tcPr>
          <w:p>
            <w:pPr>
              <w:pStyle w:val="TableContents"/>
              <w:bidi w:val="0"/>
              <w:spacing w:before="0" w:after="283"/>
              <w:jc w:val="right"/>
              <w:rPr>
                <w:b/>
              </w:rPr>
            </w:pPr>
            <w:r>
              <w:rPr>
                <w:b/>
              </w:rPr>
              <w:t>4,887,263</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455" w:type="dxa"/>
            <w:tcBorders>
              <w:bottom w:val="double" w:sz="6" w:space="0" w:color="000000"/>
            </w:tcBorders>
            <w:shd w:fill="FFFFFF" w:val="clear"/>
            <w:tcMar>
              <w:bottom w:w="28" w:type="dxa"/>
            </w:tcMar>
            <w:vAlign w:val="center"/>
          </w:tcPr>
          <w:p>
            <w:pPr>
              <w:pStyle w:val="TableContents"/>
              <w:bidi w:val="0"/>
              <w:spacing w:before="0" w:after="283"/>
              <w:jc w:val="right"/>
              <w:rPr>
                <w:b/>
              </w:rPr>
            </w:pPr>
            <w:r>
              <w:rPr>
                <w:b/>
              </w:rPr>
              <w:t>-58</w:t>
            </w:r>
          </w:p>
        </w:tc>
        <w:tc>
          <w:tcPr>
            <w:tcW w:w="275" w:type="dxa"/>
            <w:tcBorders/>
            <w:shd w:fill="FFFFFF" w:val="clear"/>
            <w:vAlign w:val="center"/>
          </w:tcPr>
          <w:p>
            <w:pPr>
              <w:pStyle w:val="TableContents"/>
              <w:bidi w:val="0"/>
              <w:spacing w:before="0" w:after="283"/>
              <w:jc w:val="left"/>
              <w:rPr>
                <w:b/>
              </w:rPr>
            </w:pPr>
            <w:r>
              <w:rPr>
                <w:b/>
              </w:rPr>
              <w:t>%</w:t>
            </w:r>
          </w:p>
        </w:tc>
      </w:tr>
    </w:tbl>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 Fair value changes in financial instruments are considered to be financing costs as they relate to convertible notes and the Forward Purchase Agreement. These changes are non-cash as these changes in fair value are affected by the volatility of the Company’s share price.</w:t>
      </w:r>
    </w:p>
    <w:p>
      <w:pPr>
        <w:pStyle w:val="TextBody"/>
        <w:bidi w:val="0"/>
        <w:spacing w:before="0" w:after="0"/>
        <w:jc w:val="center"/>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right"/>
              <w:rPr/>
            </w:pPr>
            <w:r>
              <w:rPr/>
              <w:t> </w:t>
            </w:r>
          </w:p>
        </w:tc>
      </w:tr>
    </w:tbl>
    <w:p>
      <w:pPr>
        <w:pStyle w:val="TextBody"/>
        <w:bidi w:val="0"/>
        <w:spacing w:before="0" w:after="0"/>
        <w:jc w:val="center"/>
        <w:rPr>
          <w:caps w:val="false"/>
          <w:smallCaps w:val="false"/>
        </w:rPr>
      </w:pPr>
      <w:r>
        <w:rPr>
          <w:caps w:val="false"/>
          <w:smallCaps w:val="false"/>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fontTable" Target="fontTable.xml"/><Relationship Id="rId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3</Pages>
  <Words>5251</Words>
  <Characters>31028</Characters>
  <CharactersWithSpaces>36941</CharactersWithSpaces>
  <Paragraphs>2339</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