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060" w:right="2120" w:hanging="4052"/>
        <w:spacing w:after="0" w:line="500" w:lineRule="auto"/>
        <w:tabs>
          <w:tab w:leader="none" w:pos="33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March 31, 2026</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line="286" w:lineRule="auto"/>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111 Anza Boulevard, Suite 109</w:t>
            </w:r>
          </w:p>
        </w:tc>
        <w:tc>
          <w:tcPr>
            <w:tcW w:w="3180" w:type="dxa"/>
            <w:vAlign w:val="bottom"/>
          </w:tcPr>
          <w:p>
            <w:pPr>
              <w:spacing w:after="0"/>
              <w:rPr>
                <w:sz w:val="24"/>
                <w:szCs w:val="24"/>
                <w:color w:val="auto"/>
              </w:rPr>
            </w:pPr>
          </w:p>
        </w:tc>
      </w:tr>
      <w:tr>
        <w:trPr>
          <w:trHeight w:val="216"/>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Burlingame, California</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4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414-3530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RDZN</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7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RDZNW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32"/>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$0.8639 per share of the Registrant’s ordinary shares on the Nasdaq Stock Market LLC on September 30, 2025, was $42,800,857.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Registrant’s ordinary shares outstanding as of June 26, 2026 was 84,562,603.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0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600" w:type="dxa"/>
            <w:vAlign w:val="bottom"/>
            <w:tcBorders>
              <w:bottom w:val="single" w:sz="8" w:color="0000EE"/>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80" w:type="dxa"/>
            <w:vAlign w:val="bottom"/>
            <w:tcBorders>
              <w:bottom w:val="single" w:sz="8" w:color="CCEEFF"/>
            </w:tcBorders>
            <w:gridSpan w:val="4"/>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5"/>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98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62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6"/>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5"/>
        </w:trPr>
        <w:tc>
          <w:tcPr>
            <w:tcW w:w="98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175"/>
        </w:trPr>
        <w:tc>
          <w:tcPr>
            <w:tcW w:w="98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7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98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Roadzen Inc., a British Virgin Islands business company (the “Parent Company”, formerly known as Vahanna Tech Edge Acquisition I Corp; and sometimes referred to in this filing as “Vahanna”) has subsidiaries located in India, the United States, the United Kingdom and the People’s Republic of China. The Company is a leading Insurtech platform and provides solutions in relation to insurance products, including distribution, pre-inspection assistance, telematics, claims submission and administration, and roadside assistance.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20, 2023 (the “Closing Date”), Vahanna, Roadzen, Inc., a Delaware corporation (“Roadzen (DE)”), and Vahanna Merger Sub Corp., a Delaware corporation and a direct, wholly owned subsidiary of Vahanna (“Merger Sub”), consummated the Business Combination (as defined below) pursuant to the Agreement and Plan of Merger, dated February 10, 2023, by and among Vahanna, Roadzen (DE) and Merger Sub, as amended by the First Amendment to the Agreement and Plan of Merger, dated June 29, 2023 (as so amended, the “Merger Agreement”). Pursuant to the terms of the Merger Agreement, Merger Sub merged with and into Roadzen (DE), with Roadzen (DE) surviving the merger as a wholly owned subsidiary of Vahanna (the “Merger,” and together with the other transactions contemplated by the Merger Agreement and the other agreements contemplated thereby, the “Business Combination”).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Vahanna changed its name to “Roadzen Inc.” On September 21, 2023, the Company’s ordinary shares, par value $0.0001 per share (“Ordinary Shares”) and Public Warrants (as defined in Note 2 to the accompanying consolidated financial statements) began trading on the Nasdaq Global Market and Nasdaq Capital Market under the ticker symbols “RDZN” and “RDZNW,”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to the “Company,” “Roadzen,” “we,” “us,” or “our” refer to the business of Roadzen (DE) and its subsidiaries prior to the consummation of the Business Combination and became the business of Roadzen Inc. and its subsidiaries following the consummation of the Business Combination.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to a year herein refers to our fiscal year ended on March 31 of the specified year.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includes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Annual Report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All statements other than statements of historical facts contained in this Annual Report are forward-looking statements. This includes, without limitation, statements regarding our vision and business strategy, including the plans and objectives of management for our future operations; our market opportunities, our future revenue opportunities, performance of our partnerships, and our future performance and financial condition. Such statements can be identified by the fact that they do not relate strictly to historical or current facts. When used in this Annual Report, words such as “anticipate,” “believe,” “continue,” “could,” “estimate,” “expect,” “expected to,”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including, but not limited to:</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business plan or maintain our competitive position and high-level customer satisfaction if we fail to maintain adequate operational and financial resources, particularly if we continue to grow rapidly;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concentrated with a limited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use of proprietary technology and relies heavily on laws to protect such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may not be able to obtain judgments or enforce civil liabilities against us or our executive officers or our Board of Directors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increased costs as a result of operating as a public company, and our management will continue to be required to devote substantial time to new compliance initiatives;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“Summary of Risk Factors” and Part I. Item 1A. “Risk Factors” in this Annual Report.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Annual Report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“Risk Factors” in this Annual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our Ordinary Shares or Public Warrants and result in a loss of all or a portion of your investment:</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anticipate increased expenses in the future.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derived from a relatively small number of clients ranging from insurers, OEMs and automotive fleets, and the loss of any of these clients, or a significant revenue reduction from any of these clients, could materially impact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Financial Conduct Authority (“FCA”) regulations and guidelines may continue to have an adverse impact on our business and operations in the U.K.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larger clients have negotiating leverage, which may require us to agree to terms and conditions that result in increased cost of sales, decreased revenue, lower average selling prices and gross margins, and increased contractual liability risks, all of which could harm our results of operations.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revenue and results of operations will be harmed.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makes it difficult to evaluate our future prospects and increases the risk that we will not continue to grow at or near historical rates.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ensure the accuracy and completeness of product information and the effectiveness of our recommendation of insurance products on our platform.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technology costs that are used in providing services to our clients would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brand, and if we fail to develop, maintain, and enhance our brand and reputation cost-effectively, our business and financial condition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in part depends on existing customers renewing and upgrading their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 renewals and expansions could adversely impact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direct sales to sell automobile insurance brokerage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depends on continued investment in and around the delivery of innovative AI solutions. If we are unsuccessful in delivering the above-mentioned AI solutions, it could adversely impact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automotive sector, auto insurance industry, claims volumes, or supporting economy, which are outside of our control, could adversely impact our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automotive insurance industry, including the adoption of new technologies, such as autonomous vehicles, may significantly impact our results of operations.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defer or forego purchases of automobiles in the event of weakened global economic conditions or political transitions, which in turn will affect purchases of our products or services.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our market, which could negatively impact our business, results of operations, and financial condition and cause our market share to decline.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introduce and market new and enhanced versions of our services and products, we may be put at a competitive disadvantage and our operating results could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independent standards organizations may implement significant regulations or standards that could adversely affect our ability to produce or market our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in the future may become a party to litigation, which could result in damage to our reputation and harm our future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otherwise harm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requirements of applicable environmental legislation and regulation could have a material adverse effect on our revenue and profitability.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our non-controlling interest in a Chinese subsidiary and our operations in India.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could adversely impact our business and results of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joint ventures, collaborations or sponsored developments for intellectual property and, as a result, some of our intellectual property may, in the future, be jointly owned by other parties.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or other violation by us of their intellectual property rights could result in significant costs and substantially harm our business and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and others may not adequately prevent disclosure of trade secrets and other proprietary information.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change significantly and you could lose all or part of your investment as a result.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are no current plans to pay cash dividends on our Ordinary Shares for the foreseeable future, you may not receive any return on investment unless you sell your Ordinary Shares for a price greater than that which you paid for it.</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by the Company or its shareholders in the public market could cause the market price for the Company’s ordinary shares to decline.</w:t>
      </w:r>
    </w:p>
    <w:p>
      <w:pPr>
        <w:spacing w:after="0" w:line="16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increased costs as a result of operating as a public company, and our management is required to devote substantial time to new compliance initiatives.</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Roadzen is a leading Insurtech company on a mission to transform global auto insurance powered by advanced artificial intelligence (“AI”). At the heart of our mission is our commitment to create transparency, efficiency, and a seamless experience for the millions of end customers who use our products through our insurer, original equipment manufacturer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Application Programming Interface, or API-led distribution and real-time claims processing.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telematics, and AI-based applications for the auto insurance ecosystem.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Roadzen has four major client types: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 including insurance companies, reinsurers, agents, brokers;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 including carmakers, dealerships, online-to-offline car sales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Fleets — including small and medium fleets, taxi fleets, ridesharing platforms, commercial and corporate fleets;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 channels such as financial services companies providing auto loans, and telematics companies.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are global, serving a diverse and expanding client base that includes market-leading insurance companies, fleets, and automotive OEMs, such as AXA, SCOR, Arch, Société Générale, Jaguar Land Rover, Audi, Mercedes, Volvo, and several others. We deliver specialized insurance and mobility solutions across key geographies, including India, the U.S., U.K., Europe and China, through a network of regulated entities and licensed platforms.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U.K. and Europe, we operate through a specialist Managing General Agent (“MGA”) based in Coventry, England, which provides auto insurance, extended warranties, and claims management services to insurers, automotive dealers, manufacturers, and fleet operators. This MGA leverages its regulatory license to underwrite and service policies locally while utilizing third-party licenses to deliver solutions globally. It acts as a delegated authority on behalf of insurers, managing policy sales and claims adjudication via its brokerage platform. Revenue is generated through commissions and administrative fees tied to Gross Written Premium (“GWP”), with specialty contracts typically structured over five-year terms.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U.S., we operate a licensed auto club based in Burlingame, California that specializes in commercial roadside assistance (“RSA”) and claims management. With a robust network of over 75,000 service providers nationwide, it offers towing, transportation and first notice of loss (“FNOL”) services to government fleets, enterprises, insurers and auto manufacturers. We also operate a California-based insurance broker and managing general underwriter, after acquiring a majority stake in that company in the quarter ended December 31, 2025. These capabilities support our comprehensive suite of mobility and insurance infrastructure services across North America.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India, we operate as a licensed insurance broker providing distribution and servicing of motor insurance products, while also providing RSA, vehicle inspection, and claims management services. We also operate a workshop management platform, digitizing end-to-end auto repair across a network of more than 1,200 verified garages and car repair workshops. Our India operations further serve as the Company’s global technology headquarters, where our product, engineering, and AI teams develop and scale the core platforms that power our insurance and mobility services worldwide.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People’s Republic of China, we operate a data analytics and AI-enabled software company serving the insurance and mobility value chain in the Greater China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Together, these operations form a seamless platform that combines insurance, technology, and mobility services across our global footprint.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Roadzen’s AI Manifesto</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mission is to build the leading company at the intersection of AI, insurance and mobility. To further our mission, we have built a pioneering lab focused on fundamental and applied AI research. We work on core research areas in computer vision, generative AI, and traditional machine learning to develop product experiences that improve the safety, convenience, and protection of millions of drivers across the world. Roadzen is a founding member of the AI Alliance fostering safe, responsible, and open-source development alongside industry leaders such as Meta, IBM, Hugging Face, Stability AI, AMD, Service Now, and others. Our approach to build precision AI models in insurance and mobility has won several industry accolades. Roadzen achieved significant industry recognition for its advancements in AI and technology during the last several years. Honors included ‘Breakthrough in Computer Vision’ (FE AICONIC Summit &amp; Awards 2026), InsurTech Solution of the Year (Fintech Breakthrough Awards 2026), ‘Best Insurtech’ (Bharat Fintech Summit Awards 2026), ‘Best AI in Deep Tech’ at the AI Awards Summit 2025 by Entrepreneur India and secured a spot on the Fintech40 Index by L’Observatoire de la Fintech. It was named the ‘World’s Top InsurTech’ by CNBC in 2024, ‘Most Innovative Use of AI’ by Financial Express at the FE Futech Awards 2024 and won the Gold Stevie Award for its Claims insurance solution at the International Business Awards 2024. Additional recognitions included ‘Excellence in InsurTech’ by the India FinTech Forum (IFTA 2024), ‘Best Use of AI in Insurance’ at the Global AI Summit &amp; Awards (GAISA 2024), and ‘Best Product and Business Team’ at the World Auto Forum 2024. Roadzen also won ‘Best Use of Technology’ at the Entrepreneur Awards 2024 and ‘Most Innovative Company’ at the World Finance Innovation Awards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 four broad areas of opportunity for the future of auto insurance that our technology is poised to address.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Pricing</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way auto insurance is underwritten and priced is expected to undergo a fundamental shift. With increasing connectivity, “pay how you drive” and usage-based insurance (“UBI”) will emerge as natural complements to traditional auto insurance. Mobile apps, aftermarket devices, and the actuarial challenges of underwriting insights after selection are likely to become outdated. Instead, the insurance industry is likely to experience a change due to a proliferation of connected data from the vehicle which, when added to demographic data and loss-causing information such as braking, acceleration, cornering and driving speed, will create better risk pools. Such enhanced and connected data will improve the accuracy and convenience of assessing and pricing risk in real-time, giving advantage to those that have access to this data.</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Similarly, within products such as extended warranty it has now become easier to gather data about a vehicle’s performance and usage, including information about how the vehicle is being driven, its maintenance history, and potential mechanical issues. This information can be used to identify potential problems early on, before they become major issues that require costly repairs. As our technology advances, it is likely that extended warranties will become more customized and data-driven. For example, instead of offering a blanket coverage plan, extended warranties may be tailored to individual drivers based on their driving habits and usage patterns.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Today’s claims processes are fragmented, complex and manual. Processing claims requires significant input from customers, insurers, repair-shop networks and rental providers, and it often relies on incomplete data from the parties involved.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new future of mobility, insurers will be able to simplify, streamline and automate the claims process through telematics and video streaming to provide accurate data on a real time basis. AI will interpret the data gathered, allowing for seamless claims handling and enabling the insurer to choose how and when to introduce human intervention. Small claims can be automated to be fully touchless and processed within minutes from first notification of loss to payments.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vehicle repair and rental segments could also undergo their own shift (opening opportunities for OEMs) because traditional repair shops do not have much experience with repairing vehicles with highly sophisticated embedded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number of connected vehicles grows, so too will in-vehicle services and products, including insurance. OEMs have historically participated in insurance distribution by acting as a lead-referral partner to a range of insurance providers. However, the growth of both connected vehicles and digital direct-to-consumer distribution of electric vehicles provides promising prospects for a new channel through which consumers can directly buy insurance from the OEM in an embedded purchase. The OEMs will require partners who can provide a white-labeled technology platform through which the OEMs can price policies, process claims and offer other products such as extended warranty coverage.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 Insurance Market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Global insurance premiums reached approximately $7.8 trillion (€6.9 trillion) in 2025 according to the Allianz Global Insurance Report 2026, representing approximately 7% of global gross domestic product. Advances in smartphone penetration, data ubiquity, and AI have created a significant opportunity to shape the digital insurance economy.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automotive insurance market is an industry led by legacy players. The global automotive insurance market was approximately $923 billion in 2023 and is projected to reach approximately $2.3 trillion by 2032, growing at a compounded annual rate of 10.8%, according to Allied Market Research. There are approximately 1.55 billion vehicles on the road worldwide, including cars, vans and trucks (excluding motorcycles), according to Organisation Internationale des Constructeurs d’Automobiles (OICA). According to Swiss Re Institute’s </w:t>
      </w:r>
      <w:r>
        <w:rPr>
          <w:rFonts w:ascii="Times New Roman" w:cs="Times New Roman" w:eastAsia="Times New Roman" w:hAnsi="Times New Roman"/>
          <w:sz w:val="18"/>
          <w:szCs w:val="18"/>
          <w:i w:val="1"/>
          <w:iCs w:val="1"/>
          <w:color w:val="auto"/>
        </w:rPr>
        <w:t>sigma</w:t>
      </w:r>
      <w:r>
        <w:rPr>
          <w:rFonts w:ascii="Times New Roman" w:cs="Times New Roman" w:eastAsia="Times New Roman" w:hAnsi="Times New Roman"/>
          <w:sz w:val="18"/>
          <w:szCs w:val="18"/>
          <w:color w:val="auto"/>
        </w:rPr>
        <w:t xml:space="preserve"> research, premiums paid for automobile insurance was close to 15% of the total insurance premiums paid worldwide in 2022. Over the span of the next ten years, we expect auto insurance premiums to surpass 20% of total insurance premiums, representing high traction for the segment.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continued development of autonomous vehicles, electric vehicles, connected vehicles (vehicles that can communicate bidirectionally with other systems outside of the car) and “Mobility as a Service” platforms can shift the emphasis from providing individual insurance to providing insurance to fleet owners, and embedded insurance at the point-of-sale to car companies. This changing trend signals a shift from direct insurance (which is insurance sold ad-hoc to a consumer and separate from the purchase of the vehicle) to embedded insurance solutions (which is a form of digital bundling that enables companies to offer insurance policies as an add-on) with enhanced focus on road safety, accident prevention, usage-based insurance, warranties, and distribution platforms with technologies to provide ongoing support capabilities on policies.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Roadzen is uniquely positioned with the technology, global scale, and strategic relationships to emerge as a key player at the forefront of this massive 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Roadzen has two principal models for generating revenue: 1) platform sales of our IaaS platform, and 2) brokerage commissions and fees. We follow a capital-light business model, meaning that we do not underwrite any risk ourselves or carry any insurance risk on our balance sheet for either source of revenue.</w:t>
      </w:r>
    </w:p>
    <w:p>
      <w:pPr>
        <w:spacing w:after="0" w:line="17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IaaS Platform:</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Roadzen provides an IaaS technology platform addressed towards insurance for mobility. The IaaS platform has a suite of products that work cohesively to address the auto insurance value chain. Roadzen sells its IaaS platform to insurers, car manufacturers, and fleet companies to deliver services for their respective insured customers. Our deep understanding of the insurance industry has enabled us to develop a unified suite of modules and products that is tailored to address the key challenges faced in auto insurance. Our solution suite includes several products that support the insurance lifecycle, such as:</w:t>
      </w:r>
    </w:p>
    <w:p>
      <w:pPr>
        <w:spacing w:after="0" w:line="17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Via</w:t>
      </w:r>
      <w:r>
        <w:rPr>
          <w:rFonts w:ascii="Times New Roman" w:cs="Times New Roman" w:eastAsia="Times New Roman" w:hAnsi="Times New Roman"/>
          <w:sz w:val="18"/>
          <w:szCs w:val="18"/>
          <w:color w:val="auto"/>
        </w:rPr>
        <w:t>: enables fleets, carmakers and insurers to inspect a vehicle using computer vision;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Distribution Network </w:t>
      </w:r>
      <w:r>
        <w:rPr>
          <w:rFonts w:ascii="Times New Roman" w:cs="Times New Roman" w:eastAsia="Times New Roman" w:hAnsi="Times New Roman"/>
          <w:sz w:val="18"/>
          <w:szCs w:val="18"/>
          <w:color w:val="auto"/>
        </w:rPr>
        <w:t>(“GDN”): enables the configuration, customer quote, payment (in any currency), and administration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with any insurance carrier as the underwriter;</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enables digital, touchless and real-time resolution of claims from FNOL through payment, using telematics and computer vision;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StrandD</w:t>
      </w:r>
      <w:r>
        <w:rPr>
          <w:rFonts w:ascii="Times New Roman" w:cs="Times New Roman" w:eastAsia="Times New Roman" w:hAnsi="Times New Roman"/>
          <w:sz w:val="18"/>
          <w:szCs w:val="18"/>
          <w:color w:val="auto"/>
        </w:rPr>
        <w:t>: enables digital, real-time dispatch and tracking for RSA and FNOL during accident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Driving</w:t>
      </w:r>
      <w:r>
        <w:rPr>
          <w:rFonts w:ascii="Times New Roman" w:cs="Times New Roman" w:eastAsia="Times New Roman" w:hAnsi="Times New Roman"/>
          <w:sz w:val="18"/>
          <w:szCs w:val="18"/>
          <w:color w:val="auto"/>
        </w:rPr>
        <w:t>: enables insurers and fleets to recognize their best drivers, train poor drivers and build UBI programs;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DrivebuddyAI</w:t>
      </w:r>
      <w:r>
        <w:rPr>
          <w:rFonts w:ascii="Times New Roman" w:cs="Times New Roman" w:eastAsia="Times New Roman" w:hAnsi="Times New Roman"/>
          <w:sz w:val="18"/>
          <w:szCs w:val="18"/>
          <w:color w:val="auto"/>
        </w:rPr>
        <w:t>: enables any vehicle to get advanced driver-assistance capabilities utilizing cameras and neural networks to deliver better safety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road;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MixtapeAI</w:t>
      </w:r>
      <w:r>
        <w:rPr>
          <w:rFonts w:ascii="Times New Roman" w:cs="Times New Roman" w:eastAsia="Times New Roman" w:hAnsi="Times New Roman"/>
          <w:sz w:val="18"/>
          <w:szCs w:val="18"/>
          <w:color w:val="auto"/>
        </w:rPr>
        <w:t>: a platform designed to power AI agents and transform customer interactions in the insurance and mobility sectors;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AutoSpace</w:t>
      </w:r>
      <w:r>
        <w:rPr>
          <w:rFonts w:ascii="Times New Roman" w:cs="Times New Roman" w:eastAsia="Times New Roman" w:hAnsi="Times New Roman"/>
          <w:sz w:val="18"/>
          <w:szCs w:val="18"/>
          <w:color w:val="auto"/>
        </w:rPr>
        <w:t>: a workshop management software platform, digitizing the end-to-end repair journey across a network of workshops throughout India.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technology revolutionizes the customer experience by helping customers obtain a policy within seconds and process a claim estimate within minutes in comparison with existing processes that can take weeks. Roadzen’s revenue derived from platform sales is usage-based, meaning we get paid on a per-vehicle or per-use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Roadzen’s IaaS income accounted for approximately 49.6% of revenues for the year ended March 31, 2026.</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 Solutions: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Roadzen acts as an insurance broker utilizing its technology to sell insurance through our embedded and B2B2C distribution model. The policies are sold by insurance intermediaries such as agents and through captive distributors such as dealerships, fleets and used car platforms. Our B2B2C channel partners choose us for a variety of reasons — for the ease of integrating our technology through APIs into their ecosystem, for a seamless, fully digital customer experience from obtaining a policy to submitting a claim, and for integrations with a large number of insurance companies who sell their policies through our platform to give users multiple policy options. Lastly, we can provide a superior customer experience by bundling telematics for road safety, roadside assistance and claims management to the customer — a customer experience that we believe is unrivaled by other traditional brokers. Roadzen’s revenues from brokerage services are based on commissions and other fees that are paid by our insurance carriers as a percentage of the GWP for each policy.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Roadzen’s brokerage solutions accounted for approximately 50.4% of revenue for the year ended 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believe that our key strengths include the following:</w:t>
      </w:r>
    </w:p>
    <w:p>
      <w:pPr>
        <w:spacing w:after="0" w:line="238" w:lineRule="exact"/>
        <w:rPr>
          <w:sz w:val="20"/>
          <w:szCs w:val="20"/>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We have collected extensive data and consumer insights over the years. These data insights help our insurer customers with more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assessment and pricing of their policies. By providing insurers with tailored data insights and analytics to make profitable risk selections, we enable them to generate advanced pricing simulation and underwriting models.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Architecture</w:t>
      </w:r>
      <w:r>
        <w:rPr>
          <w:rFonts w:ascii="Times New Roman" w:cs="Times New Roman" w:eastAsia="Times New Roman" w:hAnsi="Times New Roman"/>
          <w:sz w:val="18"/>
          <w:szCs w:val="18"/>
          <w:color w:val="auto"/>
        </w:rPr>
        <w:t>. Our open API architecture is conducive to technology integrations with insurers on one side and distribution channels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other for our brokerage business. Our platform enables real-time data sharing and pricing simulations. We continuously automate the processes across policy purchase and issuance, servicing and renewals, thereby streamlining processes for insurers who utilize our platform to offer insurance to their customers. We also work with insurers to create dedicated and customized technology-based solutions for various process flows, such as offering computer vision-based inspections, digital KYC and easy payment processing.</w:t>
      </w:r>
    </w:p>
    <w:p>
      <w:pPr>
        <w:spacing w:after="0" w:line="179"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 domain expertise</w:t>
      </w:r>
      <w:r>
        <w:rPr>
          <w:rFonts w:ascii="Times New Roman" w:cs="Times New Roman" w:eastAsia="Times New Roman" w:hAnsi="Times New Roman"/>
          <w:sz w:val="18"/>
          <w:szCs w:val="18"/>
          <w:color w:val="auto"/>
        </w:rPr>
        <w:t>. We have assembled a global team with decades of experience and knowledge in insurance, automotive and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cross-functional expertise is necessary to address the complexity in the automotive insurance sector.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Proven R&amp;D engine</w:t>
      </w:r>
      <w:r>
        <w:rPr>
          <w:rFonts w:ascii="Times New Roman" w:cs="Times New Roman" w:eastAsia="Times New Roman" w:hAnsi="Times New Roman"/>
          <w:sz w:val="18"/>
          <w:szCs w:val="18"/>
          <w:color w:val="auto"/>
        </w:rPr>
        <w:t>. We invest heavily in R&amp;D efforts and are committed to delivering market-leading technology for the auto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We believe AI will have a transformative impact on the insurance economy and have focused our efforts on deep learning technology, and we have released several new solutions incorporating real world AI at enterprise scale. We are building a high-tech computer vision lab where our goal is to make machines “see.” This has a significant impact at the intersection of insurance and mobility. We have developed over 300 AI models in computer vision as well as natural language processing such as car inspection, driver scoring, vehicle, part and damage detection, driver distraction, insurance GPT (policy summary of any insurance policy), claims invoice automation, road object detection and driver facial landmark detection. Roadzen AI is built on our proprietary Canvas platform that allows ground truth generation, automated model selection, and continuous training and deployment of AI models. We believe our focus on machine learning operations allows us to build and deploy models faster, iterate quicker and produce impactful real-world AI is a significant competitive advantage over our traditional and Insurtech peers.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 collaborative ecosystem relationships</w:t>
      </w:r>
      <w:r>
        <w:rPr>
          <w:rFonts w:ascii="Times New Roman" w:cs="Times New Roman" w:eastAsia="Times New Roman" w:hAnsi="Times New Roman"/>
          <w:sz w:val="18"/>
          <w:szCs w:val="18"/>
          <w:color w:val="auto"/>
        </w:rPr>
        <w:t>. Since our founding, we have developed strong and strategic relationships with leading insurers,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reinsurers, on-ground repair networks, dealership groups, fleets and automotive manufacturers, among others. We are a trusted partner to our clients, which allows us to collaborate and adapt our business based on customer feedback and changing expectations to stay ahead of our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elements of our strategy include:</w:t>
      </w:r>
    </w:p>
    <w:p>
      <w:pPr>
        <w:spacing w:after="0" w:line="211" w:lineRule="exact"/>
        <w:rPr>
          <w:sz w:val="20"/>
          <w:szCs w:val="20"/>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Acquire New Customers. </w:t>
      </w:r>
      <w:r>
        <w:rPr>
          <w:rFonts w:ascii="Times New Roman" w:cs="Times New Roman" w:eastAsia="Times New Roman" w:hAnsi="Times New Roman"/>
          <w:sz w:val="18"/>
          <w:szCs w:val="18"/>
          <w:color w:val="auto"/>
        </w:rPr>
        <w:t>We believe there is a substantial opportunity to continue to grow our customer base across the auto insurance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March 31, 2026, we had 152 major customers in the insurance and automotive industry and approximately 4,200 customers made up of smaller agents and fleets, which represents a very small portion of carriers, automakers and fleets globally. We are investing in our sales and marketing, specifically targeting key accounts, expanding small business sales, and leveraging current customers as references.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Cross-sell and Upsell to Existing Customers</w:t>
      </w:r>
      <w:r>
        <w:rPr>
          <w:rFonts w:ascii="Times New Roman" w:cs="Times New Roman" w:eastAsia="Times New Roman" w:hAnsi="Times New Roman"/>
          <w:sz w:val="18"/>
          <w:szCs w:val="18"/>
          <w:color w:val="auto"/>
        </w:rPr>
        <w:t>. A central part of our strategy is expanding solution adoption across our existing customer base.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developed long-term relationships with our customers and have a proven track record of successfully cross-selling product offerings. Our customers are increasingly looking to Roadzen as a trusted partner to address complexity and solve their challenges. We have the opportunity to realize incremental value by selling additional functionality to customers that do not currently utilize our full solution suite from our platform. As we innovate and bring new technology and solutions to the market, we also have the opportunity to realize incremental value by selling new products to our existing customer base. Our customers include leading insurers and car companies that have a global presence and are keen on digitizing their auto insurance offerings. We believe that successful integration in one geography can open up opportunities within other geographies.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 our partner ecosystem. </w:t>
      </w:r>
      <w:r>
        <w:rPr>
          <w:rFonts w:ascii="Times New Roman" w:cs="Times New Roman" w:eastAsia="Times New Roman" w:hAnsi="Times New Roman"/>
          <w:sz w:val="18"/>
          <w:szCs w:val="18"/>
          <w:color w:val="auto"/>
        </w:rPr>
        <w:t>We view our customers as partners, as our product offerings act as an extension of their business. We intend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our network of partners to enhance our value proposition and create new market opportunities. We have a large network of insurance providers and reinsurance providers that use our platform and that are either interdependent on each other or, at the very least, would benefit from fostering mutually beneficial relationships with one another. As an example, if a reinsurer is looking to expand into a new market, they will need an insurer that can support them on the front end of the insurance process. Roadzen’s network of insurers is a great resource and we can help facilitate a marriage of reinsurer with insurer, providing a potential business expansion solution for its customers and, in turn, creating more business conducted through Roadzen. The more customers Roadzen acquires, the likelier it becomes that one customer will find a partner in another customer.</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 our geographical presence. </w:t>
      </w:r>
      <w:r>
        <w:rPr>
          <w:rFonts w:ascii="Times New Roman" w:cs="Times New Roman" w:eastAsia="Times New Roman" w:hAnsi="Times New Roman"/>
          <w:sz w:val="18"/>
          <w:szCs w:val="18"/>
          <w:color w:val="auto"/>
        </w:rPr>
        <w:t>We believe there is significant need for our solutions on a global basis and, accordingly,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 our business through international expansion. The global nature of several of our clients provides an excellent anchor relationship to launch us into new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Offerings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main offerings are underwriting solutions for cars, drivers and fleets, road safety using app-based and computer vision-based telematics (including accident prevention, distraction alerts, and driver coaching), and claims management (including accident scene management, FNOL, touchless video loss adjustment and RSA).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Roadzen markets these solutions through one of two channels — (i) as an IaaS provider or (ii) as a broker. Roadzen builds and tests its solutions in high-frequency and lower-margin Chinese and Indian auto-insurance markets before deploying the services to higher-margin markets in the U.K, E.U., and U.S.</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as a Service (IaaS) Platform</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Roadzen’s unified IaaS platform powered by computer vision and telematics helps insurers improve their underwriting capabilities, and process real-time claims using touchless, remote protocols. Using our technology, our clients can launch products quickly and provide a great end-customer experience to motorists. Supported by a vertically integrated AI stack with labeling, training, and neural network design capabilities, Roadzen gives insurers personalized underwriting capabilities, and instant claims processing abilities. Our IaaS platform-enabled products include underwriting and claims processing, which are managed on a fully-integrated, real-time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Roadzen’s underwriting platform, powered by AI-trained models, helps customers make better, data-driven decisions, which results in accurate and precise policy underwriting. We provide a pricing engine that allows the underwriting of insurance policies based on asset value, usage-based insurance, driver scoring using telematics, and other auto products such as extended warranty. Our rating engine empowers insurers to underwrite risk using in-house data sources, delivering dynamic risk-assessed pricing for each policy insured. As more data accumulates, recursive patterns emerge, creating precise assessment of risk. Our offerings are extremely valuable to our customers, as most traditional insurers typically lack the expertise to build AI-powered underwriting technologies in-house. Additionally, our technology requires a large amount of data to create and train predictive models with accuracy. Roadzen, through its partnerships with insurers, has continuous access to large volumes of data. As Roadzen’s technology is built in-house and not influenced by any specific customer, the underwriting algorithms are unbiased and allow Roadzen to serve as an industry benchmark. Roadzen offers underwriting platforms for asset-based underwriting and usage-based underwriting and is working towards providing underwriting platforms for behavior-based underwriting.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Claims Processing</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insurers, it is challenging to manage the customer experience during the claims process. Furthermore, Insurtech innovations over the last two decades have been highly focused on distribution, with less of an emphasis on seamless, efficient claims processing for the end customer. Roadzen has built an ecosystem that helps insurers provide an improved customer experience.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Roadzen’s Claims platform is powered by telematics, computer vision algorithms, and real-time video streaming modules to conduct live surveys of vehicle accidents. Within seconds, AI and computer-vision algorithms can identify the damaged parts, the extent of the damage, repair or replacement decisions, and the estimated cost of repair. Traditionally, this multi-step process takes anywhere between two and seven days, depending on the insurer. Additionally, total costs can be inflated by the interplay among multiple service providers that have traditionally been involved in repairing a damaged vehicle (such as repairers, surveyors and others). As Roadzen’s technology is unbiased, Roadzen eliminates the threat of cost inflation, providing savings to both the insurance company and its end customer. Roadzen’s digital claims management platform, Claims, is built for a user-driven approach and has transformed opaque claims processing into proactive engagement with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Claims </w:t>
      </w:r>
      <w:r>
        <w:rPr>
          <w:rFonts w:ascii="Times New Roman" w:cs="Times New Roman" w:eastAsia="Times New Roman" w:hAnsi="Times New Roman"/>
          <w:sz w:val="18"/>
          <w:szCs w:val="18"/>
          <w:color w:val="auto"/>
        </w:rPr>
        <w:t>initiates a claim using telematics, conducts remote surveys of accidents using photos and videos, and processes the claim by providing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costs needed to repair or replace the damaged part purely using computer vision. Applying photography, video-streaming and computer vision, Roadzen can inspect a vehicle instantly to assess risk profile, damages, and repair value. We believe that Roadzen delivers a best-in-class customer experience with improved outcomes for insurers, customers and repair shops alike. Whether parametric, assisted, or self-service, our engine handles all claims using algorithmic triage protocols, video, and deep learning for faster and more accurate resolution. Our deep ecosystem for claims processing includes loss adjusters, repairers, roadside assistance, and payments for a one-stop solution to simplify and transform the claims journey.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Roadside Assistance (“RSA”)</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believe RSA is key to offering a better claims experience for customers, including our fleet and OEM customers, and a powerful tool to limit fraud and leakage for insurers. End customers who sustain an accident need proactive service by insurers to start the claim and FNOL processes. Roadzen’s assistance platform can capture the “moment of truth” for insurers by obtaining near real-time information about the accident with video and photographic evidence. In a matter of minutes, Roadzen’s solution provides the insurer with clarity on all relevant questions after an incident occurs, including details on the parties involved, extent of the damage, and the time, location, and stated cause of the incident. Roadzen’s white-labelled RSA product, </w:t>
      </w:r>
      <w:r>
        <w:rPr>
          <w:rFonts w:ascii="Times New Roman" w:cs="Times New Roman" w:eastAsia="Times New Roman" w:hAnsi="Times New Roman"/>
          <w:sz w:val="18"/>
          <w:szCs w:val="18"/>
          <w:i w:val="1"/>
          <w:iCs w:val="1"/>
          <w:color w:val="auto"/>
        </w:rPr>
        <w:t>StrandD</w:t>
      </w:r>
      <w:r>
        <w:rPr>
          <w:rFonts w:ascii="Times New Roman" w:cs="Times New Roman" w:eastAsia="Times New Roman" w:hAnsi="Times New Roman"/>
          <w:sz w:val="18"/>
          <w:szCs w:val="18"/>
          <w:color w:val="auto"/>
        </w:rPr>
        <w:t xml:space="preserve">, provides accident management, emergency call, vehicle-breakdown call, network management, and digital dispatch capabilities to get customers back on the road quickly. As a digitally enabled and integrated network, </w:t>
      </w:r>
      <w:r>
        <w:rPr>
          <w:rFonts w:ascii="Times New Roman" w:cs="Times New Roman" w:eastAsia="Times New Roman" w:hAnsi="Times New Roman"/>
          <w:sz w:val="18"/>
          <w:szCs w:val="18"/>
          <w:i w:val="1"/>
          <w:iCs w:val="1"/>
          <w:color w:val="auto"/>
        </w:rPr>
        <w:t>StrandD</w:t>
      </w:r>
      <w:r>
        <w:rPr>
          <w:rFonts w:ascii="Times New Roman" w:cs="Times New Roman" w:eastAsia="Times New Roman" w:hAnsi="Times New Roman"/>
          <w:sz w:val="18"/>
          <w:szCs w:val="18"/>
          <w:color w:val="auto"/>
        </w:rPr>
        <w:t xml:space="preserve"> provides for 24/7 customer service. Roadzen is working with industry-leading automotive companies, insurers, aggregators, and fleets to power their assistance needs.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Telematics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built a telematics data exchange that enables the ingestion of mobility data from a multitude of sources, including connected cars, on-board diagnostics devices, software development kits (mobile apps), and dashcam video. It is a next-generation telematics platform that adds real-time driving context to significantly improve risk measurement, and more importantly, guide drivers to avoid predictable risks and make driving safer. Roadzen’s telematics improves upon first-generation telematics solutions by fusing real-time traffic, video context, and weather information with driver behavior data. Additionally, we add driver distractions and fatigue to the evaluation matrix, and we measure accident hot spots to create the most comprehensive and rich driving evaluation possible. Roadzen’s telematics offerings are bundled into its underwriting, claims and brokerage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generates a driver score for each driver and a fleet safety index to help insurers make more informed underwriting decisions and offer better products to their customers. Fleet owners can better track driving behavior and provide this feedback to their drivers, all leading to improved and safer fleet operations. The potential benefits of this approach include safer drivers, fewer accidents, fewer delays and shorter repair times, leading to greater efficiency, lower costs, and greater profits. Roadzen has three telematics layers operating on the same core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Roadzen telematics for insurance consists of a comprehensive telematics stack for driver behavior including:</w:t>
      </w:r>
    </w:p>
    <w:p>
      <w:pPr>
        <w:spacing w:after="0" w:line="225" w:lineRule="exact"/>
        <w:rPr>
          <w:sz w:val="20"/>
          <w:szCs w:val="20"/>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Software-based</w:t>
      </w:r>
      <w:r>
        <w:rPr>
          <w:rFonts w:ascii="Times New Roman" w:cs="Times New Roman" w:eastAsia="Times New Roman" w:hAnsi="Times New Roman"/>
          <w:sz w:val="18"/>
          <w:szCs w:val="18"/>
          <w:color w:val="auto"/>
        </w:rPr>
        <w:t>: The insured end customer’s mobile phone generates driving behavior data through a software development kit which is integrated into a mobile application. This software is primarily utilized by insurers to embed in the end customer applications, generating the insured’s driver score for future policy underwriting.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Connected vehicles</w:t>
      </w:r>
      <w:r>
        <w:rPr>
          <w:rFonts w:ascii="Times New Roman" w:cs="Times New Roman" w:eastAsia="Times New Roman" w:hAnsi="Times New Roman"/>
          <w:sz w:val="18"/>
          <w:szCs w:val="18"/>
          <w:color w:val="auto"/>
        </w:rPr>
        <w:t>: As vehicles become increasingly connected over time, more and more will have a telematics control unit built into the vehicle, and Roadzen’s APIs can integrate with the vehicle software to fetch data for our exchange.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Video telematics</w:t>
      </w:r>
      <w:r>
        <w:rPr>
          <w:rFonts w:ascii="Times New Roman" w:cs="Times New Roman" w:eastAsia="Times New Roman" w:hAnsi="Times New Roman"/>
          <w:sz w:val="18"/>
          <w:szCs w:val="18"/>
          <w:color w:val="auto"/>
        </w:rPr>
        <w:t>: Roadzen’s subsidiary DrivebuddyAI is a V2X (“vehicle-to-everything”) dashcam that brings ADAMATICS (ADAS + Telematics) capabilities to any vehicle using purely computer vision. The system continuously monitors the road ahead and utilizes artificial intelligence to analyze potential hazards. The driver-facing camera performs landmark detection on the driver’s face to recognize distractions, pose, and yaw. The system alerts the driver in real-time to avoid collisions — a major benefit for fleets, insurers and automotive OEMs. Reduced distractions and collision avoidance leads to better underwriting outcomes and loss control for insurers and commercial fleets. The DrivebuddyAI system is not just safer for fleets, but is also used for more accurate driver logging, fleet utilization, and visual mapping. We believe that our ADAMATICS solution has an opportunity to become a fundamental part of the commercial auto insurance market.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 Solutions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distribution platform that allows Roadzen to sell insurance policies from any insurer and offer these products through multiple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distribution channels using simple APIs. The result is a comprehensive, integrated user experience from quote to policy to claim. Our underwriting and claims are done using our AI platform, and the financial risk is assumed by leading insurers and reinsurers. We do not hold any balance sheet risk.</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Currently, the digital brokerage competitive environment is focused on selling the available insurance products without innovating the insurance product itself. Roadzen’s IaaS platform, with its unique capabilities, gives its distribution business a competitive edge. The platform’s capabilities include: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creation and underwriting: Our technology can be used by insurers to make underwriting decisions for their customers, the platform has ingested years of data to train and improve its algorithms’ policy pricing capabilities. We have built and launched traditional auto, UBI and driver score-based insurance policies with our partners.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Re-insurer backing: Roadzen has cultivated partnerships with global reinsurers, which provides Roadzen with the ability to co-create products using our technology and in turn provide them to our customers.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API Exchange: Roadzen’s insurance marketplace is agnostic as to the insurer, geography and product, enabling Roadzen to launch new products, enter new markets, and serve any vehicle category. Our API benefits end-customers with access to a single window of real-time quote information from all participating insurers and a seamless claims management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Roadzen’s business is centered around the B2B2C model, using the Roadzen technology and ecosystem to provide better underwriting capabilities, a more efficient claims management process, RSA, and a digitized policy pricing engine to fleet, insurance, and car company customers. Our vision is to be the lowest cost of distribution brokerage business in the market. Retail customer acquisition costs are very high for insurers, but Roadzen does not spend on acquiring retail customers directly. Roadzen incurs costs on the B2B front, including sales and marketing costs, to onboard the channel partners, which consist of dealers, fleet companies, agents, car companies, and strategic tie-ups. This enables Roadzen to bundle its ecosystem offerings to its customers. This approach has resulted in consistent revenue streams.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Roadzen deploys its solutions to insurers as a technology provider. It serves as a SaaS provider to auto insurers that embed our offerings with their end customers. Insurers benefit from more efficient underwriting processes and reduced claims processing costs; in turn, their customers secure a simplified online experience in claims reporting, risk evaluations, payments, and RSA. Insurers pay Roadzen a percentage of premiums charged where Roadzen’s solutions are used for underwriting. Fixed fees per usage of Roadzen solutions is utilized in damage assessments, claims management, and RSA. Through Roadzen’s proprietary specialty brokerage platforms in the U.S., India and Europe, where it targets OEMs, auto dealerships and commercial fleets, Roadzen operates on a B2B2C model. Roadzen secures a percentage of brokerage commissions paid by insurers to brokers for distribution of their offerings. By embedding its solutions suite in brokerage offerings, Roadzen secures two revenue streams: (i) brokerage commissions; and (ii) insurer payments for claims management and RSA. Both of Roadzen’s sales channels, SaaS for insurers (indirect) and brokerage distribution (direct), target a unified customer base of car companies, fleets, dealerships, and agents. Roadzen’s direct sales channels do not compete with insurers that use the SaaS solutions. Rather, Roadzen’s MGA/brokerage service becomes a platform for the marketing and distribution of policies in which Roadzen’s solutions are embedded.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primary factors determining our competitive position with other organizations in our industry are the policy add-on features we offer through bundling, the quality of our services, our technology, the diversity of products we offer, and the overall costs to our customers.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Roadzen believes that it is uniquely placed because of its technology that spans the entire insurance value chain. However, there is a threat of competition to each individual product or service that we may provide.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Insurers that choose to build similar offerings and technological expertise in-house present competition to the Company. Competition also exists from other Insurtech companies that may be specifically focused on one part of the value chain. There are several telematics players that are capable of building similar products to Roadzen, but very few have the breadth of comprehensive software, hardware and video telematics capabilities that Roadzen possesses.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insurance brokerage business is highly competitive, and numerous firms actively compete with us for customers and insurance markets. Competition in the insurance business is largely based upon innovation, knowledge, terms and condition of coverage, quality of service and price. Our brokerage operations compete with both global firms and local firms that are focused on a particular region.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number of insurance carriers who choose to directly sell insurance, primarily to individuals, do not have to pay commissions to third-party agents and brokers and can instead allocate those funds to their advertising and customer acquisition efforts. Roadzen believes that by using its B2B2C strategy, rather than going directly to customer, it can have a lower cost of customer acquisition and insurance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Roadzen had 86 engineers, computer vision researchers and data scientists focused on building software to address the challenges and complexity in auto insurance. Our product and engineering team focuses on enhancing our solutions to meet the complex requirements of our customers with a focus on capabilities, operational efficiency, security, and privacy of our platform. We also invest significantly in developing our products and customizing them for the specific market in which the customer operates, including the relevant regulations, language, currency and payment methods.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AI will have a transformative impact on the insurance economy and have focused our efforts on deep learning technology. We have released several new solutions incorporating real world AI at enterprise scale. Our team has developed over 300 AI models in computer vision as well as natural language processing such as video inspection, driver scoring, vehicle, part and damage detection, driver distraction, insurance GPT (policy summary and FAQ of any insurance policy), claims invoice automation, as well as road object detection and driver facial landmark detection. We invest significantly into developing our internal tooling for AI through our proprietary Canvas platform that allows ground truth generation, automated model selection, and continuous training and deployment of AI models.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Roadzen maintains intellectual property and proprietary protection for products and technology related to our business. We also rely on trade secrets and/or contractual provisions to develop and maintain our proprietary position and protect aspects of our business that are not amenable to, or that we do not consider appropriate for, patent protection. We protect our proprietary technologies, in part, by confidentiality agreements with our employees, consultants, scientific advisors, and contractors. For more information regarding the risks related to our intellectual property, please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Roadzen’s Business and Industry — Risks Relating to 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had no U.S. trademarks or pending applications, and we had seven registered non-U.S. trademarks and one pending non-U.S. trademark applications. As of March 31, 2026, we had no U.S. patents and pending applications, and nine registered non-U.S. patents, one registered non-U.S. design patent and five pending non-U.S. patent applications. All patents granted are seeking broader international protection.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sales and marketing efforts are a key component of our growth strategy. Our investments in this area have enabled us to build and sustain our customer base while creating long-term customer relationships.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sales efforts are materially dependent on our three different channels: (1) strategic and contractual sales to insurers and car companies; (2) sales to small-and-medium fleet owners; and (3) brokerage sales driven by agents, captive distribution channels and reinsurance partnerships. We plan to continue investing in each of these channels of growth including hiring sales personnel, producing marketing content and event marketing. We are investing heavily in content production and marketing focused on delivering rich, industry specific content on all platforms that our clients use. This helps position Roadzen as a thought leader in the insurance and mobility space and adds to the lead funnel for our business. We directly engage with decision-makers and industry leaders across the industry. Our top of the funnel digital marketing efforts provide us with a platform to execute highly targeted outreach to important decision makers in our client matrix.</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teams are structured to address the different needs of our markets. For our small business sales efforts, we employ a geographically dispersed account team structure to facilitate in-person demos and direct sales, along with an in-house sales team. For larger insurance and automotive clients, we have an enterprise sales team. Roadzen has a large direct sales force spread across India, Europe, Southeast Asia, the U.K. and the U.S. that focus on sales, on-boarding and customer management activities.</w:t>
      </w:r>
    </w:p>
    <w:p>
      <w:pPr>
        <w:spacing w:after="0" w:line="1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Fleets</w:t>
      </w:r>
      <w:r>
        <w:rPr>
          <w:rFonts w:ascii="Times New Roman" w:cs="Times New Roman" w:eastAsia="Times New Roman" w:hAnsi="Times New Roman"/>
          <w:sz w:val="18"/>
          <w:szCs w:val="18"/>
          <w:color w:val="auto"/>
        </w:rPr>
        <w:t>: Fleet vehicles are groups of motor vehicles owned or leased by a business, government agency, or other organization rather than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or family. This set of customers is targeted directly by Roadzen’s sales team. Fleets are adversely affected when accidents are followed by a slow and manual claims process, incurring a loss of revenue from the delay caused by the accident and the time needed to repair the vehicle. This is a problem that Roadzen solves with its distinctive ecosystem. Roadzen has regional sales teams across India, the U.S., the U.K., Europe and Southeast Asia. As fleets are usually on a local scale, our local sales teams are frequently within reach of our potential fleet customers and faster to close a sale.</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Insurance &amp; Car Companies</w:t>
      </w:r>
      <w:r>
        <w:rPr>
          <w:rFonts w:ascii="Times New Roman" w:cs="Times New Roman" w:eastAsia="Times New Roman" w:hAnsi="Times New Roman"/>
          <w:sz w:val="18"/>
          <w:szCs w:val="18"/>
          <w:color w:val="auto"/>
        </w:rPr>
        <w:t>: Sales to insurance companies and car companies are generally conducted either via a request for proposal (“RFP”)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bid-driven process that requires demos, technical qualification criteria and financial pricing evaluation. These processes are highly customized and require both in-house sales and solution architecture teams to close.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employ two primary sales activities for our brokerage business:</w:t>
      </w:r>
    </w:p>
    <w:p>
      <w:pPr>
        <w:spacing w:after="0" w:line="223" w:lineRule="exact"/>
        <w:rPr>
          <w:sz w:val="20"/>
          <w:szCs w:val="20"/>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Motor Insurance: </w:t>
      </w:r>
      <w:r>
        <w:rPr>
          <w:rFonts w:ascii="Times New Roman" w:cs="Times New Roman" w:eastAsia="Times New Roman" w:hAnsi="Times New Roman"/>
          <w:sz w:val="18"/>
          <w:szCs w:val="18"/>
          <w:color w:val="auto"/>
        </w:rPr>
        <w:t>As motor insurance contracts are generally of annual duration, the customers give a “Broker on Record” mandate to Roadzen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authorizes Roadzen to advise the customers to select the best insurance policy. As Roadzen operates a B2B brokerage business, sometimes other value-added services offered by Roadzen are more valuable to customers than the lowest premium offered by the competitors, such as faster claims processing, software telematics and fleet management software. Hence Roadzen’s platform and ecosystem offers Roadzen a competitive advantage.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Insurance: </w:t>
      </w:r>
      <w:r>
        <w:rPr>
          <w:rFonts w:ascii="Times New Roman" w:cs="Times New Roman" w:eastAsia="Times New Roman" w:hAnsi="Times New Roman"/>
          <w:sz w:val="18"/>
          <w:szCs w:val="18"/>
          <w:color w:val="auto"/>
        </w:rPr>
        <w:t>These are long duration policies, generally starting with a 5-year duration, where the risk underwriting is done at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Roadzen has partnered with re-insurers to back the long-term risks associated with these long-tenure contracts. These contracts are RFP-driven and may require additional negotiations with reinsurers. The RFP process for our brokerage business is the same as our IaaS RFP process.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People and Culture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assembled a proven, global team with excellence and experience spanning technology, AI, insurance and mobility. As of March 31, 2026, we had 458 full-time employees and 1 part-time employee. None of our employees are represented by a labor union. We believe we have good relationships with our employees and have not experienced any interruptions of operations due to labor disagreements.</w:t>
      </w:r>
    </w:p>
    <w:p>
      <w:pPr>
        <w:spacing w:after="0" w:line="18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Business Development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r>
      <w:tr>
        <w:trPr>
          <w:trHeight w:val="23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HR, Compliance and Admin</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principles below inform our culture as well as how we operate on a day-to-day basis. We actively foster an environment where problem solvers, collaborators and builders can thrive. Our people have a global mindset, a passion for innovation and play well with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Operating Principles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Take Ownership</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thrive on excellence, responsibility, and adaptability to change. In our largely non-hierarchical structure, we stress the need for our personnel to hold themselves and each other accountable and to high standards. It also means striving for constant improvement to raise our bar as a company. Ownership is about taking initiative and making decisions to deliver the highest quality outcome.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Be meritocratic</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no playbook exists for many of the problems we are solving, we look at the best ideas that we can bring to the table through rigorous thought, debate and action. This is fostered by a culture of respect and kindness where everyone has a voice. We believe that backing the best ideas with committed action is the key to building world class products.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Play with purpose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fun, indulge our curiosities, build for the long term, and do things differently. This is not just a job, it is a place to be authentic, express yourself fully and bring purpose to what we at Roadzen are building.</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Challenge the status quo</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us, innovation is the default mindset, a hardwired desire to improve things. The better we collaborate the more effective we are. Strong teams are built when we embrace both.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360"/>
        <w:spacing w:after="0"/>
        <w:rPr>
          <w:sz w:val="20"/>
          <w:szCs w:val="20"/>
          <w:color w:val="auto"/>
        </w:rPr>
      </w:pPr>
      <w:r>
        <w:rPr>
          <w:rFonts w:ascii="Times New Roman" w:cs="Times New Roman" w:eastAsia="Times New Roman" w:hAnsi="Times New Roman"/>
          <w:sz w:val="18"/>
          <w:szCs w:val="18"/>
          <w:i w:val="1"/>
          <w:iCs w:val="1"/>
          <w:color w:val="auto"/>
        </w:rPr>
        <w:t>Move fast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Quick and iterative feedback loops are critical to innovation in both software and AI products. This means we must move with urgency yet keep a deliberate focus on the details to make sure our clients can rely on us to make fundamental business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strong customer relationships in the auto insurance market. These relationships are a key component of our success given the long-term nature of our contracts and the interconnectedness of our network. As of March 31, 2026, we had customer agreements with 61 insurers (including carriers, self-insurers and other entities processing insurance claims), 91 automotive clients, and approximately 4,200 agent and fleet customers. As of March 31, 2026, our insurer clients made up less than 1.4% of the total number of clients, but approximately 40.1% of the enterprise client base (i.e., 61 of the 152 total insurers and automotive clients).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customer ecosystems are as follows: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 including insurance companies, reinsurers, agents, brokers.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 including carmakers (OEMs), dealerships, online-to-offline car sales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Fleets – including small and medium fleets, taxicab companies, ridesharing platforms and commercial and corporate fleets.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 channels such as financial services companies providing auto loans, and telematics companies.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key customer benefits from working with us can include:</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Insurers – faster, efficient and cheaper claims processing, lower combined operating ratios, lower distribution costs and better underwriting models.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Automotive – embedded or white-labeled products with better visibility on the insurance distribution process for both new and renewal policies, extended warrant programs, faster and more transparent claims settlements.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Fleets – advanced road safety using telematics, lower premiums and faster claims processing.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is dependent on clients in the automotive insurance industry, OEMs and automotive fleets, and historically a relatively small number of clients have accounted for a significant portion of our revenue. For the year ended March 31, 2026, we had 3 customers that individually represented approximately 13.0%, 10.0% and 8.0% of our total revenue. During this same period, revenues from 10 customers collectively accounted for approximately 56.0% of our total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Landscape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brokerage business is subject to various laws and regulations and our inability to comply with them may adversely affect our business, results of operations and reputation.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subsidiary in India received a certificate of registration to act as a direct insurance broker (life and general) under the Insurance Regulatory and Development Authority of India (Insurance Brokers) Regulations, 2018 (“Insurance Brokers Regulations”). Accordingly, we are subject to certain laws, regulations and licensing requirements. Insurance brokers are required to comply with various regulatory requirements such as the following: (i) the principal officer and broker qualified persons of an insurance broker should have undergone training and passed the relevant examination specified by the IRDAI, (ii) the principal officer, directors, promoters, partners, key management personnel and persons having effective control of the insurance broker should fulfill the ‘fit and proper’ criteria specified under the Insurance Brokers Regulations, (iii) insurance brokers may not undertake multi-level marketing for solicitation and procuring of insurance products, (iv) insurance brokers may not offer any rebate or any other inducement to a client, (v) insurance brokers must conduct their business in compliance with the code of conduct specified under the Insurance Brokers Regulations, and (vi) ensure that not more than 50% of their remuneration emanates from one client in a financial year. The IRDAI may undertake inspection of the premises of the insurance broker to ascertain how activities are carried on and inspect their books of accounts, records and documents. The Insurance Brokers Regulations specify certain approval and reporting requirements to be adhered to by the insurance brokers from time to time, as applicable. We would be subject to fines and penalties if we fail to comply with the Insurance Brokers Regulations. We derive revenues primarily from commissions and other fees paid to us by the insurance carriers who sell their policies through our platform.</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commissions that we can charge to insurers are based on charges set forth under the IRDAI Commissions Regulations. The Minimum Information Regulations, effective from May 23, 2021, are applicable to all insurers and insurance intermediaries in relation to purposes of investigation and inspection by the IRDAI.</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Inter-related companies within the group are subject to a stringent regulatory framework that affects the flexibility of our operations and increases compliance costs, and any regulatory action against us and our employees may result in penalties and/or sanctions that could have an adverse effect on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in the British Virgin Islands on April 22, 2021. Roadzen (DE) was incorporated in the State of Delaware on May 7, 2015. Our principal executive offices are located at 111 Anza Blvd., Suite 109 Burlingame, CA 94010. We also maintain a website at www.roadzen.ai. The information contained in, or that can be accessed through, our website is not part of this Annual Report.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Roadzen.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contained in this Annual Report.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For a summary of these Risk Factors, see “Summary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anticipate increased expenses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of $23.6 and $72.9 million for our fiscal years ended March 31, 2026 and 2025, respectively. As a result, we had an accumulated deficit of $248.6 and $224.3 million as of March 31, 2026 and 2025, respectively. We anticipate that our operating expenses will increase substantially in the foreseeable future as we continue to scale operations, broaden our customer base, expand our sales and marketing activities, including expanding our sales team, hire additional employees, and continue to develop our technology. In addition to the expected costs to grow our business, we also expect to incur significant additional legal, accounting, and other expenses as we operate as a public company. These efforts may prove more expensive than we currently anticipate, and we may not succeed in increasing our revenue sufficiently, or at all, to offset these higher expenses. Revenue growth may slow, or revenue may decline, for several possible reasons, including slowing demand for our services or increasing competition. Any failure to increase our revenue sufficiently to keep pace with our investments and other expenses could prevent us from achieving or increasing profitability or positive cash flow on a consistent basis.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derived from a relatively small number of clients ranging from insurers, OEMs and automotive fleets, and the loss of any of these clients, or a significant revenue reduction from any of these clients, could materially impact our business, results of operations and financial condition.</w:t>
      </w:r>
    </w:p>
    <w:p>
      <w:pPr>
        <w:spacing w:after="0" w:line="17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As of March 31, 2026, we had 61 insurance customer agreements (including carriers, self-insureds and other entities processing insurance claims), compared to 34 in the prior year; 91 automotive customer agreements in fiscal 2026 compared to 78 in the prior year; and approximately 4,200 agents and fleet customer agreements in fiscal 2026 compared to approximately 3,800 in the prior year. Roadzen’s insurer clients made up less than 1.4% of Roadzen’s total number of clients, but approximately 40.1% of Roadzen’s enterprise client base (i.e., 61 of the 152 total insurers and automotive clients).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is dependent on clients in the automotive insurance industry, OEMs and automotive fleets, and historically a relatively small number of clients have accounted for a significant portion of our revenue. For the year ended March 31, 2026, we had 3 customers that individually represented approximately 13.0%, 10.0% and 8.0% of our total revenue. During this same period, revenues from 10 customers collectively accounted for approximately 56.0% of our total revenue.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Roadzen will continue to depend upon a small number of clients for a significant portion of our revenues for the foreseeable future. As a result, if we fail to successfully renew our contracts with one or more of these customers, or if any of these customers reduce or cancel services or defer purchases, or otherwise terminate their relationship with us, our business, results of operations and financial condition would be adversely impacted. Some of our IaaS arrangements with our customers can be canceled or not renewed by our customers after the expiration of the engagement term, as applicable, on relatively short notice. Additionally, we may be involved in disputes with our customers in the future and such disputes may impact our relationship with these customers. The loss of business from any of our significant customers, including from cancellations or due to disputes, could materially impact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FCA regulations and guidelines may have an adverse impact on our business and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FCA has the authority to suspend the sale of any insurance product sold within the U.K. and for which it has oversight if it does not believe a firm or a product is protecting the interests of U.K. consumers. For example, in February 2024, the FCA paused all sales of the Guaranteed Asset Protection (“GAP”) product, a key contributor to our operations in the U.K., directing all insurers, including our insurance partner, to temporarily cease selling the GAP product. The regulator mandated insurers to make a resubmission, or new GAP proposal, outlining product features, coverages and pricing for approval by the FCA before sales of the GAP product could be resumed. Although our insurance partner, which is obligated to adhere to FCA guidelines, received approval to sell GAP products, the resubmission and approval process had a significant impact on our revenue, financial performance, and overall profitability.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new FCA-mandated suspension may materially impact our business, results of operations and financial condition, including reputational damage, and potential loss of clients and customer confidence. The FCA may request submission of certain documents including any formal confirmation of financial support. Any adverse findings, delays in responding, or inability to meet the FCA’s expectations could impact our regulatory standing in the U.K., affect the ability to operate in that jurisdiction, or result in reputational harm. These factors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Although our current business model is not directly reliant on the import or export of physical goods, recent trade policies and uncertainty related thereto, including with respect to tariffs and other restrictions, have created a dynamic and unpredictable trade landscape, which may indirectly adversely impact our business and operations. For example, many of our customers operate businesses that may be impacted by trade policies, which may result in decreased demand for our services or extended sales cycles as customers assess the impact of evolving trade policies on their operations and face increased costs or decreased revenue due to tariffs and trade restrictions.</w:t>
      </w:r>
    </w:p>
    <w:p>
      <w:pPr>
        <w:spacing w:after="0" w:line="183"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Ongoing tariff and macroeconomic uncertainty may have and continue to contribute to volatility in the price of our Ordinary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larger clients have negotiating leverage, which may require us to agree to terms and conditions that result in increased cost of sales, decreased revenue, lower average commissions earned and gross margins, and increased contractual liability risks, all of which could harm our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our clients include large OEMs, automotive fleets, and insurance companies globally. These customers have significant bargaining power when negotiating new licenses, subscriptions or renewals of existing agreements and have the ability to buy similar products from other vendors or develop such systems internally. These customers have sought and may continue to seek advantageous pricing and other commercial and performance terms that may require us to develop additional features in the products we sell to them or add complexity to our client agreements. Historically, we have had to reduce fees or commissions only on a few rare occasions involving volume-based discounts on large contracts. However, we may in the future be required to reduce the average fixed fees and/or commissions charged for our products, or otherwise agree to materially less favorable terms in response to these pressures. If we are unable to avoid reducing our fixed fees and/or commissions or renegotiate our contracts on commercially reasonable terms, our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underwrite insurance policies, distribute motor insurance, extended warranty and other insurance policies, and manage insurance claims using our AI-based technology platform. Our ability to attract new customers will depend on the perceived benefits and pricing of our services and the effectiveness of our sales and marketing efforts. Other factors, many of which are out of our control, may now or in the future impact our ability to attract new customers, including:</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software-based and/or AI solutions for their existing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services, including deregulation that reduces the need for compliance functionality;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sales and engineering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our application ecosystem and integrate with new applications and devices used by potential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may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prospects and increases the risk that we will not continue to grow at or near historical rates.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growing rapidly over the last several years, with revenue of approximately $55.0 million and $44.3 million for the fiscal years ended March 31, 2026 and 2025, respectively As a result, our ability to forecast our future results of operations is subject to several uncertainties, including our ability to effectively plan for and model future growth. Many factors may contribute to declines in our revenue growth rate, including increased competition, slowing demand for our IaaS solutions from existing and new customers, a failure by us to continue capitalizing on growth opportunities, terminations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may decline in the future because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ensure the accuracy and completeness of product information and the effectiveness of our recommendation of insurance products on our platform.</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end consumers rely on the insurance product information we provide to our clients. While we believe that such information is generally accurate, complete and reliable, there can be no assurance that the accuracy, completeness or reliability of the information can be maintained in the future. If we provide any inaccurate or incomplete information on our platform due to either our own fault or that of our insurer and reinsurer partners, or if we fail to present accurate or complete information of any insurance products which could lead to our customers’ failure to get adequate protection or us being warned or penalized by regulatory authorities or us being sued by our customers, our reputation could be harmed and we could experience reduced user traffic on our platform, which may adversely affect our business and financial performance.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brand, and if we fail to develop, maintain, and enhance our brand and reputation cost-effectively, our business and financial condition may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the brand identity we have developed and acquired has significantly contributed to the success of our business. We also believe that developing, maintaining, and enhancing awareness and integrity of our brand and reputation are critical to achieving widespread acceptance of our solutions and expanding adoption of our solutions to new customers in both existing and new markets. Maintaining and enhancing our brand requires us to make substantial investments and these investments may not be successful or cost-efficient. We believe that the importance of our brand and reputation will increase as competition in our market further intensifies. Successful promotion of our brand depends on the effectiveness of our marketing efforts and our ability to provide a reliable, useful, and valuable collection of solutions at competitive prices. These factors are essential to our ability to differentiate our offerings from competing products. In addition, our brand and reputation could be impacted if our end users or insured parties have negative experiences in the claims process, which ultimately largely depends on the quality of service from our business customers, but also may depend on the insured’s perceived value of its vehicle.</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Maintaining and enhancing our brand will depend largely on our ability to be a technology innovator, to continue to provide high quality solutions and protect and defend our brand names and trademarks, which we may not do successfully. We have not engaged in extensive direct brand promotion activities, and we may not successfully implement brand enhancement efforts in the future. Our products and services generally are branded and are likely associated with the overall experiences of a participant in the insurance economy, which is largely outside of our control. Any brand promotion activities we undertake may not yield increased revenue, and even if they do, the increased revenue may not offset the expenses we incur in building and maintaining our brand and reputation. If we fail to promote and maintain our brand successfully or to maintain loyalty among our customers,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solutions and increased risk of losing market share to competitors. Any efforts to restore the value of our brand and rebuild our reputation may be costly and may not be successful.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in part depends on existing customers renewing and upgrading their contracts. A decline in our customer renewals and expansions could adversely impact our future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have no obligation to renew their contracts for our solutions after the expiration of their contract periods, which may also be terminable on demand or on short notice, and our customers may choose not to renew contracts for a similar mix of solutions. Our customers’ renewal rates may fluctuate or decline based on a number of factors, including dissatisfaction, changes in clients’ spending levels, increased competition, changes in tax or data privacy laws or rules, prices of our services, the prices of services offered by our competitors, spending levels due to the macroeconomic environment or other factors, deteriorating general economic conditions, or legislative and regulatory changes. If our customers terminate or do not renew their contracts or reduce the solutions purchased under their contracts, our revenue could decline, and our business may be adversely impacted.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future success also depends in part on our ability to sell additional services to existing customers. If our efforts to sell our additional solutions to our customers are not successful, our revenue growth could decrease and our business, results of operations, and financial condition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our offering of motor insurance brokerage services for use in connection with AI, and solutions around vehicle inspection and claims through the use of AI. In recent periods, we have increased our focus on AI for use in connection with customers’ vehicles and equipment. We plan to expand the use cases of our AI solutions, including those where we may have limited operating experience, and may be subject to increased business, technology, and economic risks that could affect our financial results. Entering new use cases and expanding in the use cases in which we are already operating with new AI will continue to require significant resources, and there is no guarantee that such efforts will be successful or beneficial to us. Historically, sales to a new customer have often led to additional sales to the same client or similarly situated clients. To the extent we expand into and within new use cases that are heavily regulated, we will likely face additional regulatory scrutiny, risks, and burdens from the governments and agencies which regulate those markets and industries. While our strategy of building AI for use in connection with brokerage services and other use cases has proven successful in the past, it is uncertain we will achieve the same penetration and organic growth with respect to AI solutions for client vehicles and equipment or any other use cases that we pursue. Any failure to do so may harm our reputation,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direct sales to sell automobile insurance brokerage services.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market and sell automobile insurance through a direct sales B2B2C model and we must expand our sales organization to increase our sales to new and existing customers. As of March 31, 2026, our sales and business development team consisted of 212 members. We expect to continue expanding our direct sales force, both domestically and internationally, particularly our direct sales organization focused on sales to large organizations. We also expect to dedicate significant resources to sales programs that are focused on these large organizations. Once a new customer begins using our services, our sales team will need to continue to focus on expanding use of our services by that customer, including increasing the number of AI solutions used by that customer across other use cases. All of these efforts will require us to invest significant financial and other resources. If we are unable to expand and successfully onboard our sales force at sufficiently high levels, our ability to attract new customers may be harmed, and our business, financial condition and results of operations could be adversely affected. In addition, we may not achieve anticipated revenue growth from expanding our sales force if we are unable to hire, develop, integrate, and retain talented and effective sales personnel, if our new and existing sales personnel are unable to achieve desired productivity levels in a reasonable period of time, or if our sales programs are not effective. We have experienced turnover in our sales team members, which results in costly training and operational inefficiency. In order to increase our revenue, we expect we will need to further build our direct sales capacity. Additionally, our entry into any new markets and use cases will require us to develop appropriate internal sales capacity and to train our sales teams to effectively address these markets. If we are unsuccessful in these efforts, our ability to grow our business will be limited, and our business, results of operations, prospects, and financial condition will be adversely affected.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current system of direct sales may not prove effective in maximizing sales of our services and solutions. Our solutions are complex and certain sales can require substantial effort and outlay of cost and resources. It is possible that our sales team members will be unable or unwilling to dedicate appropriate resources to support those sales. If we are unable to develop and maintain effective sales incentive programs for our internal sales team members, we may not be able to incentivize these parties to sell our solutions to customers and, in particular, to large organizations. The loss of one or more of our sales team members in a given geographic area could harm our results of operations within that area, as sales team members typically require extensive training and take several months to achieve acceptable productivity.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on continued investment in and around the delivery of innovative AI solutions. If we are unsuccessful in delivering the above mentioned AI solutions, it could adversely impact our results of operations and financial condition.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address demand trends across the automotive insurance economy, we have focused on and plan to continue focusing on the growth and expansion of our AI solutions in the automotive insurance sector. This growth strategy has required and will continue to require a considerable investment of technical, financial and sales resources. These investments may not result in an increase in revenues and we may not be able to scale such investments efficiently, or at all, to meet customer demand and expectations. Our focus on our AI business may increase our costs in any given period and may be difficult to predict over time.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AI service arrangements also contain service level agreement clauses which may include penalties for matters such as failing to meet stipulated service levels. The consequences in such circumstances could include monetary credits for current or future service engagements, reduced fees for additional product sales, cancellations of planned purchases and a customer’s refusal to pay their contractually-obligated fees. Should these penalties be triggered, our results of operations may be adversely affected. Furthermore, any factor adversely affecting sales of our solutions, including market acceptance, product competition, performance and reliability, reputation, price competition and economic and market conditions, could have a material adverse effect on our business, financial condition, and results of operations. Additionally, the entry into new markets or the introduction of new features, functionality or applications beyond our current markets and functionality may not be successful. If we invest in the development of new products, we may not recover the “up-front” costs of developing and marketing those products, or recover the opportunity cost of diverting management, technical and financial resources away from other development efforts. If we are unable to successfully grow our AI business and navigate our growth strategy in light of the foregoing uncertainties, our reputation could suffer and our results of operations may be impacted, which may cause our stock price to decline.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automotive insurance industry, including the adoption of new technologies, such as autonomous vehicles, may significantly impact our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Aspects of our business, and our customers’ businesses, which our products and services support, can be impacted by events in automotive insurance which are beyond our control. Certain trends in the automotive industry, including the continued adoption of semi-autonomous or autonomous vehicles and the advent of improved automotive safety features, may potentially impact the future market for, and operations of, the automotive insurance industry. While the impacts and timing of these changes are currently unknown, if this has an adverse impact on the automotive insurance industry, it could have an adverse impact on our future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forgo purchases of automobiles in the event of weakened global economic conditions or political transitions, which in turn will affect purchases of our products or services.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performance depends, in part, on the state of the economy. Declining levels of economic activity may lead to declines in spending in the industries we serve, which may result in decreased revenue for us. Concerns about the strength of the economy may slow the rate at which businesses are willing to enter into new contractual arrangements, potentially including those for our solutions. If our customers and potential customers experience financial hardship as a result of a weakened economy, industry consolidation, or other factors, the overall demand for our solutions could decrease. If economic conditions worsen, our business, results of operations, and financial condition could be adversely impacted.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Global events such as the imposition of various trade tariffs by the U.S. and China, the COVID-19 pandemic, the Russia-Ukraine, Israel-Hamas and U.S.-Iran conflicts have created and may continue to create economic uncertainty, including inflationary pressures, in regions in which we have significant 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be unable to timely access sufficient credit, which could impair their ability to make timely payments to us. If that were to occur, we may not receive amounts owed to us and may be required to record an allowance for doubtful accounts, which would adversely affect our financial results. A substantial downturn in the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in the U.S., the U.K., E.U., China and India, including conditions resulting from financial and credit market fluctuations, could decrease corporate spending on enterprise software in general, and in the insurance industry specifically, and negatively affect the rate of growth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factors impacting the principal industries we serve could adversely affect our product adoption, usage, or average selling prices.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to derive most of our revenue from brokerage services and AI services we provide to the automotive industry, automotive insurance industry and supporting economy, including the automotive collision and OEM industries. Given the concentration of our business activities in this industry, we will be particularly exposed to certain economic downturns affecting the automotive and insurance industries. Global market and economic conditions, as well as those in the U.S., the U.K., E.U., China and India,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our customers operate. A poor economic environment could result in significant decreases in demand for our solutions, including the delay or cancellation of current or anticipated projects, or could present difficulties in collecting accounts receivable from our customers due to their deteriorating financial condition. Our existing customers may be acquired by or merged into other entities that use our competitors’ products, or they may decide to terminate their relationships with us for other reasons. As a result, our sales could decline if an existing customer is merged with or acquired by another company that has a poor economic outlook or is closed.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in our market, which could negatively impact our business, results of operations, and financial condition and cause our market share to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for our solutions is competitive. The competitors we face in any sale opportunity may change depending on, among other things, the line of business purchasing the service, the service being sold, the geography in which the customer is operating, and the size of the customer to which we are selling. These competitors may compete on the basis of price, the time and cost required for implementation, custom development, or unique product features or functions. Outside of our key markets, we are more likely to compete against vendors that may differentiate themselves based on local advantages in language, market knowledge, and content applicable to that jurisdiction.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technology providers that we have not competed against previously and whose technology and applications may, in time, become more competitive with our offerings.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insurance technology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or greater investments in research and development, each of which could negatively impact our profitability. Current and potential competitors may be able to devote greater resources to, or take greater risks in connection with,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edge-based and cloud-based AI solutions will become increasingly competitive. If our current and potential customers move a greater proportion of their data and computational needs to the cloud, new competitors may emerge that offer services either comparable to or better suited than ours to address the demand for such cloud-based AI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able to adapt more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services and products, we may be put at a competitive disadvantage and our operating results could be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technology continues to develop at a rapid pace, both within the automotive insurance economy and more broadly across the insurance ecosystem, the possibility of the development of technological advancements made by other firms will increase. If we are unable to internally develop or acquire suitable alternatives to such developments or otherwise deploy competitive offerings our business and growth opportunities may be challenged. Additionally, certain automotive insurance ecosystem customers may seek to develop internal solutions which could potentially compete with our related offerings. Technologies such as enhanced modeling, AI and machine learning technology may offer certain firms, including insurance carriers, the opportunity to make rapid advancements in the development of tools which may impact the industry broadly.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New products utilize and will continue to be based on AI technologies in the future. As such, the market acceptance of AI-based solutions is critical to our continued success. In order for cloud-based AI solutions to be widely accepted, organizations must overcome any concerns with placing sensitive information on a cloud-based platform. Furthermore, our ability to effectively market and sell AI-based solutions to customers is partly dependent upon the pace at which enterprises undergo digital transformation. Additionally, as technologies continue to become more integrated with AI technologies generally, governments may implement data privacy and AI regulations with which we will need to comply, and which may result in the incurrence of additional costs and expenses.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the needs of our customers will continue to rapidly change and increase in complexity and we will need to improve the functionality and performance of our platform continually to meet these demands. If we are unable to continue to meet customer demands or to achieve more widespread market acceptance of enterprise AI solutions in general or on our platform in particular, our business operations, financial results, and growth prospects may be materially and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can be lengthy and variable, depend upon factors outside our control, and could cause us to expend significant time and resources prior to generating revenue.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cycles for some of our solutions are complex and can be lengthy and unpredictable, requiring pre-purchase evaluation by a significant number of employees in our customers’ organizations, and can involve a significant operational decision by our customers. Our sales efforts involve educating our customers about the use and benefits of our solutions, including in the technical capabilities and the potential cost savings achievable by organizations using our solutions. For larger business opportunities, such as converting a new automotive insurance customer, customers undertake a rigorous pre-purchase decision-making and evaluation process which typically involves due diligence and reference checks. We invest a substantial amount of time and resources in our sales efforts without any assurance that our efforts will produce sales. Even if we succeed at completing a sale, we may be unable to predict the size or term of an initial AI-based arrangement until very late in the sales cycle. In addition, we sometimes commit to include custom functions in our base product offering at the request of a customer or group of customers. Providing this additional functionality may be time consuming and may involve factors that are outside of our control. Customers may also insist that we commit to certain time frames in which systems built around our solutions will be operational, or that once implemented our solutions will be able to meet certain operational requirements. Our ability to meet such time frames and requirements may involve factors that are outside of our control, and failure to meet such time frames and requirements could result in us incurring penalties, costs and/or additional resource commitments, which could adversely affect our business and results of operations.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Unexpected delays and difficulties can occur as customers implement and test our solutions. Solutions can involve integration with our customers’ and third-party’s systems as well as the addition of customer and third-party data to our platform. This process can be complex, time-consuming, and expensive for our customers and can result in delays in the implementation of our solutions, which could adversely affect our business, results of operations and financial condition. Time-consuming efforts such as client setups, training and transition of systems may also increase the amount of services personnel we must allocate to each customer, thereby increasing our costs for these services. These types of changes can also result in a shift in the timing of the recognition of revenue which could adversely affect results of operations and financial condition. The timing of when we sign a large contract can materially impact our results of operations for the period and can be difficult to predict.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significant revenue streams derived from our current research and development efforts may take several months or years, or may not be achieved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Developing AI solutions is time consuming and costly, and investment in product development may involve a long payback cycle. Our future plans include significant investments to develop, improve and expand the functionality of our solutions, which we believe is necessary to maintain our competitive position. However, we may not recognize significant revenue from these investments for several months or years, or the investments may not yield any additional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limited key underwriting carrier partners in our insurance markets, and we may not be able to find suitable replacements for our existing carriers in the event such replacements become necessary.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Roadzen works with a limited number of carriers in the U.S., India, China, the U.K. and E.U. for its automobile insurance products, and there is a risk that if one or more of the carriers becomes impaired or terminates its relationship with Roadzen that Roadzen’s revenues and profitability may be adversely affected. If a carrier partner relationship terminates or there is loss of strategic support or alignment, we may be unable to transition to a new relationship without disruption, increased cost, lost profits, or lost market share, or a combination of the foregoing.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derive a large portion of our revenue from commissions on the sale of automotive insurance products in India, China, the U.S., U.K. and E.U. If a carrier were to experience liquidity problems or other financial (such as rating agency downgrades) or operational difficulties, we could encounter business disruptions as a result, and our results of operations may suffer.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or operations outside the U.S., India and the U.K./E.U. may expose us to risks inherent in international sales.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transactions occurring outside of the three core markets, the U.S., India, and the U.K./E.U., have represented a small portion of our overall processed transactions. However, we intend to continue to expand our international sales efforts. Operating in international markets requires significant resources and management attention and will subject us to regulatory, economic, and political risks that are different from those in these three core markets. Because of our limited experience operating outside these three markets, our international expansion efforts outside of these three core markets may not be successful. We may rely heavily on third parties outside of the three core markets, and as a result we may be adversely impacted if we invest time and resources into such business relationships but do not see significant sales from such efforts. Potential risks and challenges associated with sales to customers and operations outside of our core markets include, but are not limited to:</w:t>
      </w:r>
    </w:p>
    <w:p>
      <w:pPr>
        <w:spacing w:after="0" w:line="189" w:lineRule="exact"/>
        <w:rPr>
          <w:sz w:val="20"/>
          <w:szCs w:val="20"/>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and changing governmental laws and regulations, including employment, tax, money transmission, privacy, and data protection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integrations for international technology platforms;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solutions, including translation into foreign languages, obtaining and maintaining local content, and customer care in such languages;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revenue from international sources and changes to tax rules, including being subject to foreign tax laws and liability for paying withholding or other taxes in foreign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increased costs associated with, an increased number of employees over large geographic distances, including the need to implement appropriate systems, policies, benefits, and compliance programs that are specific to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or irregular availability of reliable Internet connectivity in areas targeted for expansion;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terrorism, pandemics, or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sanctions laws and regulations, including those administered by the Office of Foreign Assets Control (“OFAC”) of the U.S. Department of the Treasury;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U.S. Foreign Corrupt Practices Act (“FCPA”) and the U.K. Bribery Act (“UKBA”);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or national economic and political conditions.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factors could negatively impact our business, results of operations, financial condition, and growth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foreign currency exchange rates that could adversely impact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has a substantial international focus, and our international sales are denominated in foreign currencies. These non-U.S. revenues could be materially affected by currency fluctuations. The volatility of exchange rates depends on many factors that we cannot forecast with reliable accuracy. We typically collect revenue and incur costs in the currency of the location in which we provide our solutions and services, but our long-term contracts with customers make it difficult for us to predict if our operating activities will provide a natural hedge in the future or as we expand internationally. We currently do not have any foreign currency hedging agreements or arrangements.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As we expand internationally, we will continue to experience fluctuations in foreign currency exchange rates, which, if material, may harm our revenue or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continuously develop AI that is compatible with third-party hardware, software, and infrastructure, including the many evolving insurance industry standards, our ability to introduce and sell new services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services, we develop AI that is compatible with a wide variety of hardware, software and other technology infrastructure. Not only must we ensure our AI is compatible with applications and technologies developed by our partners and vendors, but we must also ensure that our AI can interface with third-party hardware, software, or other technology infrastructure that our customers may choose to adopt. To the extent that a third party were to develop AI applications that compete with ours, that provider may choose not to support our solution. In particular, our ability to accurately anticipate evolving insurance standards and ensure that our AI application comply with these standards in all relevant respects is critical to the functionality of our services. Any failure of our AI to be compatible or comply with the hardware, software, or infrastructure — including insurance standards — utilized by our customers could prevent or delay their implementation of our AI and require costly and time-consuming engineering changes. Additionally, if an insufficient number of reinsurers or subscribers adopt the standards to which we design our AI, our ability to introduce and sell subscriptions to our customers could be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AI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competitive position of our AI depends in part on its ability to operate with a wide array of physical sensors and devices — including devices manufactured by third parties, other software and database technologies, and communications, networking, computing, and other infrastructure. As such, we must continuously modify and enhance our AI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AI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technology, and intellectual property of third parties and our solutions rely on information generated by third parties. Any interruption of our access to such information, technology, and intellectual property could materially harm our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data, technology, and intellectual property licensed from unaffiliated third parties in certain of our products, and we may license additional third-party data, technology, and intellectual property in the future. Any errors or defects in this third-party data, technology, and intellectual property could result in errors that could adversely impact our brand and business. In addition, licensed data, technology, and intellectual property may not continue to be available on commercially reasonable terms, or at all. The loss of the right to license and distribute this third-party data, technology, and intellectual property could limit the functionality of our products and might require us to redesign our products. Our success depends significantly on our ability to provide our customers access to data from many different sources, including, for example, parts-related data for purposes of repair estimation. We obtain much of our data about vehicle parts and components and collision repair labor and costs through license agreements with third parties who may be sole-source suppliers of that data.</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one or more of our licenses are terminated, if our licenses are subject to material price increases, or if we are unable to renew one or more of these licenses on favorable terms or at all, we may be unable to access necessary information without incurring additional costs or, for instance in the case of information licensed from sole-service suppliers, unable to access alternative data sources that would provide comparable information. While we do not believe that our access to many of the individual sources of data is material to our operations, prolonged industry-wide price increases or reductions in data availability could make receiving certain data more difficult and could result in significant cost increases, which could materially harm our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or products or our third-party cloud providers have experienced in the past, and could experience in the future, data security breaches, which could adversely impact our reputation, business, and ongoing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software business, we face risks of cyber-attacks, including ransomware and phishing attacks, social engineering attacks, computer break-ins, theft, fraud, misappropriation, misuse, denial-of-service attacks, and other improper activity that could jeopardize the performance of our platform and solutions and expose us to financial and reputational impact and legal liability, especially with regards to regulators such as the FTC, which has become increasingly aggressive in prosecuting alleged failure to secure personal data as unfair and deceptive acts or practices under the Federal Trade Commission Act the (“FTC Act”). In addition, each of our subsidiaries may be subject to additional cyber-security risks, borne of existing systems-wide vulnerabilities, that could jeopardize the performance of their platforms and expose us to similar financial and reputational impact and legal liability, especially with regards to regulators such as the FTC.</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Furthermore, such adverse impact could be in the form of theft of our or our customers’ confidential information, the inability of our customers to access our systems, or the improper re-routing of customer funds through fraudulent transactions or other frauds perpetrated to obtain inappropriate payments and may result from accidental events (such as human error) or deliberate attacks. To protect the information we collect and our systems, we have implemented and maintain commercially reasonable security measures and information security policies and procedures informed by requirements under applicable law and recommended practices, in each case, as applicable to the data collected, but we cannot be sure that such security measures will be sufficient. In some cases, we must rely on the safeguards put in place by third parties to protect against security threats. These third parties, including vendors that provide products and services for our operations, could also be a source of security risk to us in the event of a failure of their own security systems and infrastructure. Our network of business application providers could also be a source of vulnerability to the extent their business applications interface with ours, whether unintentionally or through a malicious backdoor. We cannot, in all instances, review the software code included in third-party integrations. Although we vet and oversee such vendors, we cannot be sure such vetting and oversight will be sufficient. We also exercise limited control over these vendors, which increases our vulnerability to problems with services they provide. Any errors, failures, interruptions or delays experienced in connection with these vendor technologies and information services or our own systems could negatively impact our relationships with partners and adversely affect our business and could expose us to liabilities. Because the techniques used to obtain unauthorized access, or to sabotage systems, change frequently, generally are not recognized until launched against a target, and may be difficult to detect for long periods of time, we or these third parties may be unable to anticipate these techniques or to implement adequate preventative measures. With the increasing frequency of cyber-related fraud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is sensitive and/or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and disclosure of such information. The security systems and infrastructure we maintain may not be successful in protecting against all security breaches and cyber-attacks, including ransomware and phishing attacks, social-engineering attacks, computer break-ins, theft, fraud, misappropriation, misuse, denial-of-service attacks, and other improper activity. Threats to our information technology security can take various forms, including viruses, worms, and other malicious software programs that attempt to attack our solutions or platform or to gain access to the data of our customers or their customers. Non-technical means, for example, actions or omissions by an employee or trespasser, can also result in a security breach. Any significant violations of data privacy could result in the loss of business, litigation, regulatory fines or investigations, loss of customers, and penalties that could damage our reputation and adversely affect the growth of our business. It is possible, however, that claims could be denied or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 consuming and could divert management’s attention away from our operations. In addition, negative publicity caused by these events may negatively impact our customer relationships, market acceptance of our solutions, including unrelated solutions, or our reputation and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or address the misappropriation of Roadzen-owned data.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attempt to halt their operations. However, we may be unable to detect all such websites or mobile apps in a timely manner and, even if we could, technological and legal measures may be insufficient to halt their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failures in our solutions, an inability to meet contractual service levels, or unsatisfactory performance of our services, could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we offer solutions that operate in complex environments, undetected or other errors or failures may exist or occur, which may lead to unsatisfactory performance of our services resulting in termination of our contracts, especially when solutions are first introduced or when new versions are released, implemented, or integrated into other systems. Our solutions are often used in environments with different operating systems, system management software and equipment and networking configurations, which may cause errors or failures in our solutions or may expose undetected errors, failures, or bugs in our solutions. Despite testing by us, we may not identify all errors, failures or bugs in new solutions or releases until after commencement of commercial sales or installation. In the past, we have discovered errors, failures, and bugs in some of our solutions after their introduction. We may not be able to fix errors, failures, and bugs without incurring significant costs or an adverse impact to our business. The occurrence of errors in our solutions or the detection of bugs by our customers may damage our reputation in the market and our relationships with our existing customers, and as a result, we may be unable to attract or retain customers. We believe that our reputation and name recognition are critical factors in our ability to compete and generate additional sales. Promotion and enhancement of our name will depend largely on our success in continuing to provide effective solutions and services. The failure to do so may result in the loss of, or delay in, market acceptance of our solutions and services, which could adversely impact our sales,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and support of our software creates the risk of significant liability claims against us. Our IaaS arrangements and licenses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adversely impact our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of our Internet connections, including to any third-party cloud providers that host any of our websites or web-based services, could affect the success of our IaaS solutions.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system failure, including network, software, or hardware failure, that causes an interruption in our network or a decrease in the responsiveness of our website or our IaaS solutions could result in reduced user traffic, reduced revenue and potential breaches of our IaaS arrangements. Continued growth in Internet usage could cause a decrease in the quality of Internet connection services. Websites have experienced service interruptions as a result of outages and other delays occurring throughout the worldwide Internet network infrastructure. In addition, there have been several incidents in which individuals have intentionally caused service disruptions of major websites. If these outages, delays, or service disruptions occur frequently in the future, usage of our web-based services could grow more slowly than anticipated or decline and we may lose customers and revenue.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third-party cloud providers that host any of our websites or web-based services were to experience a system failure, the performance of our websites and web-based services, including our IaaS solutions, could be adversely impacted. Currently, we utilize third-party cloud providers to host our websites and web-based services. Any disruption of, or interference with, our use of these third-party cloud providers could impair our ability to deliver our solutions to our customers, resulting in customer dissatisfaction, damage to our reputation, loss of customers and adverse impact to our operations and our business. In general, third-party cloud providers are vulnerable to damage from fire, floods, earthquakes, acts of terrorism, war or political upheaval, power loss, telecommunications failures, electronic intrusion attempts from both external and internal sources, and similar events. If we decided to switch cloud providers or consolidate cloud providers for any reason, it may require significant resources to execute the resulting migrations.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controls implemented by our current or future third-party cloud providers may not prevent or timely detect system failures and we do not control the operation of third-party cloud providers that we use. Any changes in service levels by our current or future third-party cloud providers could result in loss or damage to our customers’ stored information and any service interruptions at these third-party cloud providers could hurt our reputation, cause us to lose customers, adversely impact our ability to attract new customers or subject us to potential liability. Our current or future third-party cloud providers could decide to close their facilities without adequate notice. In addition, financial difficulties, such as bankruptcy, faced by our current or future third-party cloud providers, or any of the service providers with whom we or they contract, may have negative effects on our business. If our current or future third-party cloud providers are unable to keep up with our growing needs for capacity or any spikes in customer demand, it could have an adverse effect on our business. Our property and business interruption insurance coverage may not be adequate to fully compensate us for losses that may occur. Additionally, systems redundancies and disaster recovery and business continuity plans may not be sufficient to overcome the failures of third-party providers hosting our IaaS solutions.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users depend on Internet service providers, online service providers and other website operators for access to our website. These providers could experience outages, delays, and other difficulties due to system failures unrelated to our systems. Any of these events could adversely impact our business, results of operations and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or pursue business partnerships, which may divert our management’s attention or result in dilution to our shareholders, and we may be unable to integrate acquired businesses and technologies successfully or achieve the expected benefits of such acquisitions, investments, or partnerships.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to grow, in part, by making targeted acquisitions in addition to our organic growth strategy. Our business strategy includes the potential acquisition of shares or assets of companies with businesses complementary to ours, both domestically and globally. Our strategy also includes alliances with such companies. Acquisitions and alliances may result in unforeseen operating difficulties and expenditures and may not result in the benefits anticipated by such corporate activity.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products, personnel or operations of the acquired companies, retain key personnel necessary to favorably execute the combined companies’ business plans,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to issue debt or equity securities to complete an acquisition or realize the potential of an alliance, which could deplete our cash reserves and/or dilute our existing stockholders and newly-issued securities may have rights, preferences or privileges senior to those of existing stockholders.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the assumptions we use to evaluate acquisition opportunities may not prove to be accurate, and intended benefits may not be realized. Our due diligence investigations may fail to identify all the problems, liabilities or other challenges associated with an acquired business which could result in increased risk of unanticipated or unknown issues or liabilities, including with respect to environmental,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we may not accurately anticipate the fixed and other costs associated with such acquisitions, or the business may not achieve the performance we anticipate, any of which may materially adversely affect our business, prospects, financial condition, results of operations, cash flows, as well as our stock price. Further, if we fail to achieve the expected synergies from our acquisitions and alliances, we may experience impairment charges with respect to goodwill, intangible assets, or other items, particularly if business performance declines or expected growth is not realized. Any future impairment of our goodwill or other intangible assets could have an adverse effect on our financial condition and results of operations. No assurance can be given regarding the accuracy or reasonability of such projections and assumptions. No assurance can be given that we may be able to achieve some or all such benefits, economies of scale or synergies that we expect to achieve in connection with these acquisitions, including achieving accretion to earnings, achieving fixed and other costs associated with such acquisitions, or achieving the anticipated performance. Any failure to achieve such benefits, economies of scale or synergies or unanticipated challenges we may face in such integration would adversely affect our business, prospects, financial condition, results of operations and cash flows, as well as our stock price. Further, such failure would result in impairment charges with respect to goodwill, intangible assets, or other items, particularly if business performance declines or expected growth is not realized.</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following an acquisition or the establishment of an alliance offering new solutions, we may be required to defer the recognition of revenue that we receive from the sale of solutions that we acquired or that result from the alliance, or from the sale of a bundle of solutions that includes such new solutions. In addition, our ability to maintain favorable pricing of new solutions may be challenging if we bundle such solutions with sales of existing solutions. A delay in the recognition of revenue from sales of acquired or alliance solutions, or reduced pricing due to bundled sales, may cause fluctuations in our quarterly financial results, may adversely affect our operating margins, and may reduce the benefits of such acquisitions or alliances.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competition within the insurance industry for acquisitions of businesses, technologies and assets has been, and is expected to continue to be, intense. Acquisitions could become the target of regulatory reviews, which could lead to increased legal costs, or could potentially jeopardize the consummation of the acquisition.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key person risk because we rely on the expertise of our CEO, senior management team, and other key employees. If we are unable to attract, retain, or motivate key personnel or hire qualified personnel, our business may be severely impacted.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the ability to attract, retain, and motivate a highly skilled and diverse management team and workforce. Our CEO is an integral part of the Roadzen brand and his departure would likely create difficulty with respect to both the perception and execution of our business. Additionally, the loss of a member of our senior management team, specialized experts or key personnel might significantly delay or prevent the achievement of our strategic business objectives and could harm our business. We rely on a small number of highly specialized experts, the loss of any one of whom could have a disproportionate impact on our business. Our compensation arrangements, such as our equity award programs, may not always be successful in attracting new employees and retaining and motivating our existing employees. Moreover, if and when our stock options or other equity awards are substantially vested, employees under such equity arrangements may be more likely to leave, particularly when the underlying shares have seen a value appreciation.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inability to ensure that the Company has the depth and breadth of management and personnel with the necessary skills and experience could impede our ability to deliver growth objectives and execute our operational strategy. As we continue to expand and grow, we will need to promote or hire additional staff, and it may be difficult to attract or retain such individuals in a timely manner and without incurring significant additional costs. Furthermore, several members of our management team were hired recently. If we are not able to integrate these new team members or if they do not perform adequately, our business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large part by our company’s cultural principles of focusing on customer success, building for the long term, adopting a growth mindset, being inclusive and winning as a team. As the Company grows and develops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Failure to meet these contractual commitments could lower our revenue and harm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service requirements under our subscription agreements, we may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Roadzen is exposed to interest rate risk through the course of our normal operations. Rising interest rates could have a negative impact on our cash flows as interest expense would likely increase on any debt undertaken.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consolidated balance sheets include assets and liabilities with estimated fair values that are subject to the interest rate, which impacts the fair value of our liabilities as well as interest rate risks associated with any investments made in fixed income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achieve our goals, and a failure to obtain this necessary capital when needed on acceptable terms, or at all, may force us to delay, limit, reduce or terminate our product development efforts or other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our inception, substantially all of our resources have been dedicated to the development of our core technology and product platforms. We believe that we will continue to expend substantial resources for the foreseeable future as we build and enhance our capabilities and commercialize our products. These expenditures are expected to include costs associated with research and development, as well as marketing and selling existing and new products. These expenditures are expected to include working capital, costs of acquiring and building out new facilities, and the cost of attracting and retaining a skilled labor force. In addition, other unanticipated costs may arise.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of approximately $6.6 million. During the period ended March 31, 2026, the Company incurred a net loss of approximately $23.6 million and had cash flows used in operating activities of approximately $21.4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prospects are subject to risks, expenses, and uncertainties frequently encountered by companies in the early stages of commercial operations. To date, we have been funded primarily by equity and debt financings, including the issuance of redeemable convertible preferred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our history of losses, we do not expect that we will be able to fund our longer-term capital and liquidity needs to execute our business plan and pursue our strategic goals through our cash balances and operating cash flows alone. To fund our longer-term capital and liquidity needs, we expect we will need to secure additional capital. However, our business plan and financing needs are subject to change depending on, among other things:</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products we develop or acquire to serve new or existing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future products or improvements to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our sales and marketing initiatives;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to expand our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fund domestic and international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arbitration, or other legal proceedings related to our products or commenced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intellectual property claims, including litigation costs and the outcome of such litigation;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any future approved products, if any.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obtain future additional funds through public or private equity or debt financings or other sources, such as strategic collaborations.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our business. In addition, we may seek additional capital due to favorable market conditions or strategic considerations even if we believe that we have sufficient funds for current or future operating plans. There can be no assurance that financing will be available to us on favorable terms, or at all. The inability to obtain financing when needed may make it more difficult for us to operate our business or implement our growth plans and we may be required to delay, limit, reduce or terminate our manufacturing, research and development activities, growth and expansion plans, establishment of sales and marketing capabilities or other activities that may be necessary or desirable to generate revenue and achieve profitability.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a public company such as Roadzen that will be subject to significant regulatory oversight and reporting obligations under U.S.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controls over financial reporting required of public companies in the U.S. In addition, each of our subsidiaries may also have inadequate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new compliance initiatives.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after we are no longer an emerging growth company, as defined in Section 2(a) of the Securities Act. As a public company, we are subject to the reporting requirements of the Exchange Act, the Sarbanes-Oxley Act of 2002 (the “Sarbanes-Oxley Act”), the Dodd-Frank Wall Street Reform and Consumer Protection Act (the “Dodd-Frank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may increase our net loss. For example, we expect these rules and regulations to make it more difficult and more expensive for it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conflicts between Ukraine and Russia, between Israel and Hamas and between the U.S. and Iran have exacerbated market instability and disrupted the global economy.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current conflicts between Ukraine and Russia, between Israel and Hamas and U.S. and Iran have caused uncertainty about economic and political stability, increasing volatility in the credit and financial markets, and disrupting the global economy. The U.S., the E.U., and several other countries are imposing far-reaching sanctions and export control restrictions on Russian entities and individuals.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U.S., the E.U.,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and Legal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5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including the laws of the BVI.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it may be subject to penalty and our business may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managing general agency/underwriter in the U.S. and U.K./E.U. markets, and an insurance broker in India, we operate in a highly regulated environment for our insurance product distribution and face risks associated with compliance requirements, some of which cause us to make judgment calls that could have an adverse effect on 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insurance broking industry in which we operate is subject to extensive regulation. We are subject to regulation and supervision both federally and in each applicable local state or provincial jurisdiction as per the particular geography. In general, these regulations are designed to protect members, policyholders, and insureds and to protect the integrity of the financial markets, rather than to protect shareholders or creditors. Our ability to conduct business in these jurisdictions depends on our compliance with the rules and regulations promulgated by federal and state or provincial regulatory bodies and other regulatory authorities. Maintaining compliance with rules and regulations is often complex and challenging, and it sometimes requires us to make a judgment call regarding the level of risk associated with a requirement, which could have an adverse effect on 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adapt effectively and timely to any changes in law. A failure to comply with regulatory requirements, or changes in regulatory requirements or interpretations, can result in actions by regulators, potentially leading to penalties and enforcement actions, and in extreme cases, revocation of an authority to do business in one or more jurisdictions. This could result in adverse publicity and potential damage to our brand and reputation in the marketplace. In addition, we could face lawsuits by members, insureds, and other parties for alleged violations of these laws and regulations.</w:t>
      </w:r>
    </w:p>
    <w:p>
      <w:pPr>
        <w:spacing w:after="0" w:line="18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State insurance laws grant supervisory agencies, including state insurance departments, broad administrative authority. In India, the Insurance Regulatory and Development Authority (“IRDAI”), the FCA, and, in the U.S.,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Individuals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generally any payments we make to third parties are in compliance with applicable laws. However, should any regulatory agency take a contrary position and prevail, we will be required to change the manner in which we pay fees to individuals and entities for placing insurance policies through us.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India, insurance brokers are required to comply with various regulatory requirements as prescribed under the Insurance Act, 1938, the Insurance Regulatory and Development Authority Act, 1999 and the relevant rules and regulations thereunder, each as amended from time to time (collectively, “Indian Insurance Broker Laws”). Because of the complexities of the Indian Insurance Broker Laws, we have had prior experiences with lapses in filings or disclosures in compliance with the Indian Insurance Broker Laws. While past lapses could be attributed to technical lapses and human errors, we are setting up a system to track and monitor compliance with the regulatory requirements under applicable laws. Currently, although there are no notices or penalty imposed by IRDAI in respect of such lapses, such lapses could result in actions by IRDAI, potentially leading to penalties and enforcement actions, which in extreme cases, among things, could lead to revocation of license to operate as a licensed insurance broker. In determining the penalties, the discretion of the regulatory agencies in imposing penalties is generally guided by facts and circumstances of a specific case, particularly, the gravity of the violation and the bona fide of the parties involved. There can be no assurance that the penalties imposed by the regulator while regularizing such past lapses will not adversely affect our business or financial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periodic inspections by IRDAI for our insurance broker in India. In the event that we are unable to comply with the observations made by the IRDAI or comply with IRDAI’s directions at any time in the future, we could be subject to penalties and restrictions which may be imposed by the IRDAI. Imposition of any penalty or adverse finding by the IRDAI during any future inspection may have a material adverse effect on our reputation, business, financial condition, results of operations and cash flows.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not be subject to any adverse regulatory actions by regulators in the future. The costs of compliance may be high, which may affect our profitability. If we are unable to comply with any such regulatory requirements, our business and results of operations may be materially and adversely affected.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Regulatory review or the issuance of interpretations of existing laws and regulations may result in the enactment of new laws and regulations that could adversely affect our operations or our ability to conduct business profitably. It is difficult to predict whether, and to what degree, changes resulting from new laws and regulations will affect the industry or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Further, to the extent our AI requires the use of electronic logging devices (“ELDs”), they are subject to regulation by the Federal Motor Carrier Safety Administration (“FMCSA”) and may be subject to similar regulations in other countries in which they are used. Among other challenges, compliance with ELD regulations often requires reading and interpreting diagnostic information from commercial motor vehicle engines, which can prove challenging given the diversity of commercial motor vehicles in our customers’ fleets, the continuous release of vehicles of new makes, models, and years with potentially different diagnostic communication protocols, and the lack of standardization of diagnostic communication protocols across OEMs. Our ability to design, develop and sell our products will continue to be subject to these rules and regulations, as well as many other federal, state, local and foreign rules, and regulations, for the foreseeable future.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a party to litigation, which could result in damage to our reputation and harm our future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For example, we are currently involved in litigation with Meteora, as described in Item 3 (Legal Proceedings) in this Annual Report (collectively, the “Meteora Litigation”). While we are seeking significant damages against Meteora, we may not prevail in the Meteora Litigation, and may have to pay damages to Meteora. In addition, litigation, including the Meteora Litigation, might result in substantial costs and may divert management’s attention and resources, which might harm our business, financial condition, and results of operations. While we believe that we can partially mitigate the risk and severity of exposure from these lawsuits through contractual provisions in certain of our agreements with insurance carriers, and carrying our own insurance that we believe is adequate to cover adverse claims arising from these lawsuits or similar lawsuits that may be brought against us, we may not have adequate contractual protection in all of our contracts and defending these and similar litigation is costly, diverts management from day-to-day operations, and could harm our brand and reputation. As a result, we may ultimately be subject to a damages judgment, which could be significant and exceed our insurance policy limits or otherwise be excluded from coverage.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Regardless of the outcome of any future litigation, litigation can have an adverse impact on us because of defense and settlement costs, diversion of management resources, harm to our reputation, and other factors. See </w:t>
      </w:r>
      <w:r>
        <w:rPr>
          <w:rFonts w:ascii="Times New Roman" w:cs="Times New Roman" w:eastAsia="Times New Roman" w:hAnsi="Times New Roman"/>
          <w:sz w:val="18"/>
          <w:szCs w:val="18"/>
          <w:i w:val="1"/>
          <w:iCs w:val="1"/>
          <w:color w:val="auto"/>
        </w:rPr>
        <w:t>“Business — Legal Proceedings.”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otherwise harm our business.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U.S. These laws and regulations impose added costs on our business. Noncompliance with applicable regulations or requirements could subject us to:</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fees to professionals and/or consultants. Enforcement actions and sanctions could materially harm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 could also raise a number of new regulatory issues. These factors could materially and adversely affect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 market. The Restrictions of Hazardous Substances Directive (“RoHS”) bans the use of certain hazardous materials in electrical and electronic equipment which are put on the market in the E.U. In the future, the governments of various countries, including the United States, or other state or local governments, may adopt further environmental compliance programs and requirements. If we fail to comply with these regulations in connection with the manufacture of our telematic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standards, and contractual obligations related to privacy, data protection, and data security.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actual or perceived failure to comply with such obligations could harm our business.</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receive, collect, store, process, transfer, and use personal information and other data relating to users of our solutions, our employees and contractors, and other persons. For example, one of our AI-based telematics systems collects video information of our customers, and certain of our AI applications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currently,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AI, possibly in a material manner, which we may be unable to complete, and may limit our ability to store and process user data or develop new features.</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 adopted the General Data Protection Regulation (the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U.S.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GDPR, the European Commission has another draft regulation in the approval process that focuses on a person’s right to conduct a private life. The proposed legislation, known as the Regulation of Privacy and Electronic Communications (the “ePrivacy Regulation”), would replace the current ePrivacy Directive. Originally planned to be adopted and implemented at the same time as the GDPR, the ePrivacy Regulation is still being negotiated.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(the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by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is effective as of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 Recent litigation around these laws has encouraged plaintiffs’ attorneys to bring additional actions against other targets, and because some of our products employ technology that may be perceived as subject to these laws, we and our customers may become subject to litigation, government enforcement actions, damages and penalties under these laws, which could adversely affect our business, results of operations and our financial condition. Further, in March 2017, the U.K. formally notified the European Council of its intention to leave the E.U. pursuant to Article 50 of the Treaty on the European Union. The U.K. ceased to be a E.U. Member State on January 31, 2020, but enacted legislation that substantially implements the GDPR and which provides for substantial penalties in a manner similar to the GDPR (up to the greater of £17.5 million and 4% of our global annual turnover for the preceding financial year for the most serious violations). It is unclear how the U.K. data protection laws or regulations will develop in the medium to longer term and how data transfers to and from the U.K. will be regulated. Further, some countries also are considering or have enacted legislation requiring local storage and processing of data that could increase the cost and complexity of delivering our services.</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subject to legislation and regulations in India under the Information Technology Act, 2000, and the rules and regulations thereunder, each as amended from time to time, including the Information Technology (Reasonable Security Practices and Procedures and Sensitive Personal Data or Information) Rules, 2011 and the Information Technology (Intermediaries Guidelines and Digital Media Ethics Code) Rules, 2021. Further, the laws and regulations relating to privacy and the collection, storing, sharing, use, disclosure, and protection of certain types of data in India may continually change as a result of new legislation, amendments to existing legislation, changes in the enforcement policies and changes in the interpretation of such laws and regulations by the courts or the regulators. For example, the Personal Data Protection Bill, 2019 (the “PDP Bill”) was introduced to propose a legal framework governing the processing of personal data. However, the PDP Bill was withdrawn on August 3, 2022. Following this, the Government of India is considering the enactment of the Digital Personal Data Protection Bill, 2022 on personal data protection for implementing organizational and technical measures in processing personal data and lays down norms for cross-border transfer of personal data and to ensure the accountability of entities processing personal data. The enactment of the aforesaid bill may introduce stricter data protection norms for a company such as ours and may impact our processes. If this or similar legislation is enacted, we may incur additional compliance costs and it may affect us in ways that we are currently unable to predict.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FCPA, the U.S. domestic bribery statute contained in 18 U.S.C. § 201, the U.S. Travel Act, the USA PATRIOT Act, the U.K. Bribery Act of 2010, the Indian Prevention of Corruption Act of 1988 and possibly other anti-bribery and anti-money laundering laws in countries where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improper advantage. Anti-corruption and anti-bribery laws have been enforced aggressively in recent years and are interpreted broadly. In many foreign countries, particularly in countries with developing economies, it may be a local custom that businesses engage in practices that are prohibited by the FCPA or other applicable laws and regulations. In addition, we use third parties to sell subscriptions to our solution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Similarly, some of our customers may be state-owned, in each case exposing us to additional potential risks.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activities. While we have policies and procedures to address such laws, we cannot assure you that none of our employees or third-party intermediaries will take actions in violation of our policies and applicable law, for which we may be ultimately held responsible.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severe criminal or civil sanctions and suspension or debarment from government contracts, which could have an adverse effect on our reputation, business, financial condition, results of operations, and prospects. In addition, responding to any enforcement action may result in a significant diversion of management’s attention and resources and significant defense costs and other fees for professionals and/or consultants.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and data security laws, regulations, and standards related to data privacy and security. Our actual or perceived failure to comply with such obligations could harm our reputation, subject us to significant fines and liability, or adversely affect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U.S., insurance companies are subject to the privacy provisions of the federal Gramm-Leach-Bliley Act and the National Association of Insurance Commissioners (“NAIC”) Insurance Information and Privacy Protection Model Act, to the extent adopted and implemented by various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require them to maintain certain security controls to protect information in their possession. Violators of these laws face regulatory enforcement action, substantial civil penalties, injunctions, and in some states, private lawsuits for damages.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Privacy and data security regulation in the U.S. is rapidly evolving. For example, California recently enacted the CCPA, which became effective January 1, 2020. The CCPA and related regulations give California residents expanded rights to access and request deletion of their personal information, opt out of certain personal information sharing, and receive detailed information about how their personal information is used and shared. The CCPA provides for civil penalties for violations, as well as a private right of action for certain data breaches, which is expected to increase the volume and success of class action data breach litigation. In addition to increasing its compliance costs and potential liability, the CCPA’s restrictions on “sales” of personal information may restrict Roadzen’s use of cookies and similar technologies for advertising purposes. The CCPA excludes information covered by Gramm-Leach-Bliley Act, the Driver’s Privacy Protection Act, the Fair Credit Reporting Act (the “California Financial Information Privacy Act”) from the CCPA’s scope, but the CCPA’s definition of “personal information” is broad and may encompass other information that Roadzen maintains. Some observers have noted that the CCPA could mark the beginning of a trend toward more stringent privacy legislation in the U.S., and multiple states have enacted or proposed similar laws. There is also discussion in Congress of new comprehensive federal data protection and privacy law to which Roadzen likely would be subject if it is enacted.</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California voters approved the November 2020 ballot measure which will enact the CPRA, substantially expanding the requirements of the CCPA. As of January 1, 2023, the CPRA gives consumers the ability to limit use of precise geolocation information and other categories of information classified as “sensitive” and add e-mail addresses and passwords to the list of personal information that, if lost or breached, would give the affected consumers the right to bring private lawsuits. The law increases the maximum penalties threefold for violations concerning consumers under age 16, and establish the California Privacy Protection Agency to implement and enforce the new law, as well as impose administrative fines. The effects of the CCPA, CPRA and other similar state or federal laws are potentially significant and may require us to modify our data processing practices and policies, incur substantial compliance costs and subject us to increased potential liability.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E.U. we face particular privacy, data security, and data protection risks in connection with requirements of the GDPR 2016/679 and other data protection regulations. Among other stringent requirements, the GDPR restricts transfers of data outside of the E.U. to countries deemed to lack adequate privacy protections (such as the U.S.), unless an appropriate safeguard specified by the GDPR is implemented. A July 16, 2020 decision of the Court of Justice of the European Union invalidated a key mechanism for lawful data transfer to the U.S. and called into question the viability of its primary alternative. As such, the ability of companies to lawfully transfer personal data from the E.U. to the U.S. is presently uncertain. Other countries have enacted or are considering enacting similar cross-border data transfer rules or data localization requirements. These developments could limit the Company’s ability to deliver its products in the E.U. and other foreign markets. In addition, any failure or perceived failure to comply with these rules may result in regulatory fines or penalties including orders that require us to change the way Roadzen processes data.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subject to the terms of its privacy policies, privacy-related disclosures, and contractual and other privacy-related obligations to our customers and other third parties. Any failure or perceived failure by us or third parties Roadzen works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Roadzen by consumer advocacy groups or others, and could cause customers to lose trust in us, all of which could be costly and have an adverse effect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some mobile applications to execute our business strategy. Government regulation of the Internet and the use of mobile applications in particular is evolving, and unfavorable changes could seriously harm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Roadzen relies on some mobile application to execute components of its business strategy. Roadzen is subject to general business regulations and laws as well as federal and state regulations and laws specifically governing the Internet and the use of mobile applications in particular. Existing and future laws and regulations may impede the growth of the Internet or other online services, 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applications in particular, as the vast majority of these laws were adopted prior to the advent of the Internet and the use of mobile applications and do not contemplate or address the unique issues raised by the Internet. It is possible that general business regulations and laws, or those specifically governing the Internet and the use of mobile applications in particular, may be interpreted and applied in a manner that is inconsistent from one jurisdiction to another and may conflict with other rules or our practices. Roadzen cannot be sure that its practices have complied, currently comply, or will comply fully with all such laws and regulations. Any failure, or perceived failure, by it to comply with any of these laws or regulations could result in damage to its reputation, a loss in business and proceedings or actions against it by governmental entities or others. Any such proceeding or action could hurt its reputation, force it to spend significant amounts in defense of these proceedings, distract its management, increase its costs of doing business and decrease the use of its mobile application or website by consumers and suppliers and may result in the imposition of monetary liability. Roadzen may also be contractually liable to indemnify and hold harmless third parties from the costs or consequences of non-compliance with any such laws or regulations.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violations by us or our customers of, applicable government regulations could reduce demand for or limit our ability to provide our software and services in those jurisdictions.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automotive insurance industry customers are subject to extensive government regulations, mainly at the state level in the U.S. and at the country level in our non-U.S. markets. Some of these regulations relate directly to our software and services, including regulations governing the use of total loss and photo estimating software. If our insurance company customers fail to comply with new or existing insurance regulations, including those applicable to our services, they could lose their certifications to provide insurance and/or reduce their usage of our software and services, either of which would reduce our revenues. If our products or services are found to be defective, we could be liable to them. In addition, future regulations could force us to implement costly changes to our software and/or databases or have the effect of prohibiting or rendering less valuable one or more of our offerings. Also, we are subject to direct regulation in some markets, and our failure to comply with these regulations could significantly reduce our revenues or subject us to government sanctions.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and may be affected by changes in tax laws or interpretations, any of which could adversely impact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Roadzen and its subsidiaries are expected to be subject to income taxes in the United States and various jurisdictions outside of the United States. Our effective tax rate could fluctuate due to changes in the mix of earnings and losses in countries with differing statutory tax rates. Moreover, our tax position could also be impacted by changes in accounting principles, changes in U.S. federal, state or international tax laws applicable to corporate multinationals, other fundamental law changes currently being considered by many countries, including the United States, and changes in taxing jurisdictions’ administrative interpretations, decisions, policies, and positions. Any of the foregoing changes could have a material adverse impact on our results of operations, cash flows, and financial condition. For example, the Inflation Reduction Act of 2022 (the “IRA”) was signed into law on August 16, 2022 and imposes a minimum tax on certain corporations with book income of at least $1 billion, subject to certain adjustments, and a 1% excise tax on certain stock buybacks (including certain redemptions) and similar corporate actions. Any of these or similar developments or changes in U.S. federal, state or non-U.S. tax laws or tax rulings could adversely affect our effective tax rate and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obligated to pay income tax in India.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certify annually that we are not an Indian domiciled company for Indian income tax purposes. Establishing that we are not an Indian domiciled company requires an evaluation of certain parameters and conducting certain tests to the satisfaction of the tax authorities in India. There is a risk that now or at some point in the future, we will not be able to satisfy the requirements of the tax authorities in India. If we were unable to meet these requirements, we would be considered an Indian domiciled company by the tax authorities in India and would consequently incur income tax charges in India.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hold a controlling equity interest in our Chinese subsidiary and rely on contractual and governance arrangements for consolidation, which may be less effective than direct ownership and may be challenged under PRC law.</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Effective April 1, 2025, we began consolidating the financial results of Daokang (Beijing) Data Science Company Limited (“Daokang”), a company organized under the laws of the People’s Republic of China (the “PRC”), as a variable interest entity (“VIE”) under U.S. generally accepted accounting principles. We hold a 34.5% equity interest in Daokang and consolidate its results based on a combination of board, governance, and management rights, including a tiebreaking vote in the event of a deadlock and sole authority to designate Daokang’s Chief Executive Officer. These arrangements may not be as effective as direct equity ownership in providing operational control. If the other shareholders of Daokang, the directors designated by them, or the Daokang Chief Executive Officer fail to act in accordance with our instructions, fail to perform their obligations under these arrangements, or contest the validity or enforceability of these arrangements, we may be required to incur substantial costs to enforce our rights, and we may be unable to do so in a timely manner or at all. The PRC legal system is based on written statutes, and prior court decisions have limited precedential value. Uncertainties in the PRC legal system could limit our ability to enforce these arrangements, and any such failure could materially and adversely affect our business, financial condition, results of operations, and the value of our securities.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PRC laws, regulations, or government policies, or actions by PRC regulatory authorities, could materially affect Daokang’s operations and our ability to consolidate Daokang’s financial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PRC government has broad authority to regulate companies operating in the PRC, including in areas relating to data, cybersecurity, foreign investment, anti-monopoly review, and the structure of overseas-listed issuers with PRC operations. The PRC government has in recent years adopted or proposed a number of measures that may affect companies with operations in the PRC, including the Cybersecurity Law, the Data Security Law, the Personal Information Protection Law, measures of the Cyberspace Administration of China relating to cybersecurity review and cross-border data transfers, and the China Securities Regulatory Commission’s (“CSRC”) Trial Administrative Measures of the Overseas Securities Offering and Listing by Domestic Companies that took effect on March 31, 2023. The interpretation and enforcement of these laws and regulations remain subject to substantial uncertainty. If the PRC government determines that our consolidation of Daokang, the contractual and governance arrangements relating to Daokang, or any of Daokang’s business activities are not in compliance with applicable PRC laws and regulations, or if these laws and regulations change or are interpreted differently in the future, we could be required to restructure our arrangements with Daokang, deconsolidate Daokang, divest our interest in Daokang, or take other actions that could result in significant disruption to our business and a material and adverse impact on our financial condition and results of operations. We may also be required to obtain permissions or approvals from PRC regulatory authorities, including the CSRC and the Cyberspace Administration of China, in connection with our existing or future operations or capital markets activities, and we cannot assure investors that we will be able to obtain such permissions or approvals in a timely manner, or at all.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Holding Foreign Companies Accountable Act and related developments could result in our securities being prohibited from trading in the United States if the Public Company Accounting Oversight Board is unable to inspect our auditors.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Holding Foreign Companies Accountable Act, as amended (the “HFCAA”), and related rules adopted by the U.S. Securities and Exchange Commission and the Public Company Accounting Oversight Board (the “PCAOB”) provide that if the PCAOB is unable to inspect or investigate completely an auditor that has issued an audit report for a U.S.-listed issuer for two consecutive years, the issuer’s securities will be prohibited from trading on a U.S. national securities exchange or in the over-the-counter market. In December 2022, the PCAOB announced that it had secured access to inspect and investigate registered public accounting firms headquartered in mainland China and Hong Kong; however, the PCAOB has indicated that this determination is subject to ongoing reassessment and could be reversed if obstructions to its access arise. If the PCAOB in the future is unable to conduct full inspections or investigations of any audit firm that performs audit work in connection with Daokang’s financial statements, or of our principal auditor to the extent any portion of its work is performed in the PRC or Hong Kong, our securities could become subject to a trading prohibition under the HFCAA, and the market price and liquidity of our securities could be materially and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the movement of cash into and out of the PRC may limit our ability to use Daokang’s cash flows to fund our operations or meet our obligations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the remittance of currency out of the PRC. Daokang’s revenue is generated in Renminbi, and Daokang is subject to PRC laws and regulations governing dividend distributions, statutory reserve requirements, foreign exchange administration, and withholding tax on payments to non-PRC affiliates. As a result, our ability to access cash generated by Daokang to fund operations at our holding company or other subsidiaries, to service indebtedness, or to make distributions to our shareholders may be limited, delayed, or subject to additional taxation. In addition, the contractual and governance arrangements through which we consolidate Daokang may further constrain the timing or manner in which we are able to access Daokang’s cash flows. Any inability to move cash out of the PRC efficiently, or any change in PRC laws or regulations affecting cash transfers, could adversely affect our liquidity, capital structure, and ability to meet our obligations.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for our consolidation of Daokang involves significant judgment and estimates, and adjustments during the measurement period or in future periods could materially affect our reported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accounting for our consolidation of Daokang, including the determination that we are the primary beneficiary of Daokang for accounting purposes, the remeasurement of our previously held equity interest, the recognition and measurement of identifiable assets acquired and liabilities assumed, and the recognition of any goodwill or bargain purchase gain, involves the application of significant judgment and the use of estimates regarding fair value. The initial accounting may be recorded on a provisional basis and is subject to adjustment during the measurement period. Subsequent changes in facts and circumstances, including changes in the contractual or governance arrangements, the loss of any of the rights on which our consolidation conclusion is based, or a determination that Daokang is no longer a variable interest entity or that we are no longer its primary beneficiary, could require us to deconsolidate Daokang or to reassess the carrying value of related assets and liabilities, any of which could have a material effect on our financial position and results of operations. In addition, the carrying value of any goodwill or long-lived assets recognized in connection with the consolidation will be subject to impairment testing, and the prior impairment of our investment in Daokang as of March 31, 2025 reflects the historical difficulty we have experienced in obtaining reliable financial information from Daokang.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adversely impact our business and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 validity, enforceability, scope and effective term of patents can be highly uncertain and often involve complex legal and factual questions and proceedings that vary based on the local law of the relevant jurisdiction. Our ability to enforce our patents also depends on the laws of individual countries and each country’s practice with respect to enforcement of intellectual property rights. Patent protection must be obtained on a jurisdiction-by-jurisdiction basis, and we only pursue patent protection in countries where we think it makes commercial sense for the given product. In addition, if we are unable to maintain our existing license agreements or other agreements pursuant to which third parties grant us rights to intellectual property, including because such agreements terminate, our financial condition and results of operations could be materially adversely affected.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Patent law reform in the U.S. and other countries may also weaken our ability to enforce our patent rights, or make such enforcement financially unattractive. For instance, in September 2011, the U.S. enacted the Leahy-Smith America Invents Act, which permits enhanced third-party actions for challenging patents and implements a first-to-file system. Further, the U.S. Supreme Court’s 2014 decision in Alice v. CLS Bank made it easier to invalidate software patents. These legal changes could result in increased costs to protect our intellectual property or limit our ability to obtain and maintain patent protection for our products in these jurisdictions.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We have pursued and will pursue the registration of trademarks, logos and service marks in the U.S. and internationally; however, enforcing rights against those who knowingly or unknowingly dilute or infringe our brands can be difficult. There can be no assurance that the steps we have taken and will take to protect our proprietary rights in our brands and trademarks will be adequate or that third parties will not infringe, dilute or misappropriate our brands, trademarks, trade dress or other similar proprietary rights. Competitors may adopt service names similar to ours or use confusingly similar terms as keywords in Internet search engine advertising programs, thereby impeding our ability to build brand identity and possibly creating confusion in the marketplace. In addition, trade name or trademark infringement claims could be brought against us by owners of other registered trademarks or trademarks that incorporate variations of our trademarks. Any claims or customer confusion related to our trademarks could damage our reputation and brand and adversely impact our business and results of operations.</w:t>
      </w:r>
    </w:p>
    <w:p>
      <w:pPr>
        <w:spacing w:after="0" w:line="19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contractors, and consultants to enter into confidentiality and assignment of inventions agreements and third parties to enter into nondisclosure agreements, all of which offer only limited protection. These agreements may not effectively prevent, or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solutions similar to ours, or use trademarks similar to ours, any of which could materially impact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 broadly, enforcing intellectual property protections outside the U.S., including in some countries we operate in, can be more challenging than enforcement in the U.S. The Company takes certain actions when operating in countries where protection of IP, technology and confidential information, is not as well protected, including steps such as preventing placing sensitive IP in such countries, as an example. Moreover, policing our intellectual property rights is difficult, costly and may not always be effective. 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Even if we are successful in defending our claims, litigation could result in substantial costs and diversion of resources and could negatively affect our business, reputation, results of operations and financial condition. To the extent that we seek to enforce our rights, we could be subject to claims that an intellectual property right is invalid, otherwise not enforceable, or is licensed to the party against whom we are pursuing a claim. In addition, our assertion of intellectual property rights may result in the other party seeking to assert alleged intellectual property rights or assert other claims against us, which could adversely impact our business. If we are not successful in defending such claims in litigation, we may not be able to sell or license a particular solution due to an injunction, or we may have to pay damages that could, in turn, adversely impact our results of operations. In addition, governments may adopt regulations, or courts may render decisions, requiring compulsory licensing of intellectual property to others, or governments may require that products meet specified standards that serve to favor local companies. Our inability to enforce our intellectual property rights under these circumstances may adversely impact our competitive position and our business. If we are unable to protect our technology and to adequately maintain and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March 31, 2026, we had no U.S. trademarks or pending applications, and we had seven registered non-U.S. trademarks and one pending non-U.S. trademark applications.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we had no U.S. patents and pending applications, and nine registered non-U.S. patents, one registered non-U.S. design patent and five pending non-U.S.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joint ventures, collaborations or sponsored developments for intellectual property and, as a result, some of our intellectual property may, in the future, be jointly owned by third parties.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Engagement in any type of intellectual property collaboration agreement requires diligent management of intellectual property rights. Other than in specific, limited circumstances, such as a joint venture we are party to in India where we have majority ownership of the joint venture entity. Roadzen does not currently engage in joint ventures, collaborations or sponsored development agreements. Should Roadzen decide to pursue such agreements in future, the development of joint intellectual property would create additional administrative and financial burdens, and may place Roadzen at heightened risk of disputes or litigation regarding ownership, maintenance or enforcement of such joint intellectual property.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Insurtech industry is characterized by the existence of a large number of patents and frequent claims and related litigation regarding patents and other intellectual property rights. In particular, leading companies in the technology industry own large numbers of patents, copyrights, trademarks and trade secrets, which they may use to assert claims against us. From time to time, third parties holding such intellectual property rights, including companies, competitors, patent holding companies, customers and/or non-practicing entities, may assert patent, copyright, trademark or other intellectual property claims against us, our customers and partners, and those from whom we license technology and intellectual property.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believe that our solutions do not infringe upon the intellectual property rights of third parties, any such assertions may require us to enter into royalty arrangements or result in costly litigation, or result in us being unable to use certain intellectual property. Infringement assertions by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Regardless of the merits or eventual outcome, such a claim could adversely impact our brand and business. Furthermore, an adverse outcome of a dispute may require us to pay damages, potentially including treble damages and attorneys’ fees, if we are found to have willfully infringed a party’s intellectual property; cease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9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results could harm our business, results of operations and financial condition. These risks have been amplified by the increase in third parties whose sole or primary business is to assert such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and subject us to possible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and technologies use “open source” software, which may restrict how we use or distribute our services or require that we release the source code of certain products subject to those licenses.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services and technologies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our technology team of 86 professionals that includes software programmers, data scientists and design team to develop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companies that have incorporated open source software into their products have faced claims challenging the ownership of open source software or compliance with open source license terms. Accordingly, we could be subject to suits by parties claiming ownership of what we believe to be open source software or claiming noncompliance with open source licensing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Third parties have claimed and may in the future claim that our operations and applications infringe their intellectual property rights, and such claims have resulted and may result in legal claims against our customers and us. These claims may damage our brand and reputation, harm our customer relationships, and result in liability for us. We expect the number of such claims will increase as the number of applications and the level of competition in our market grows, the functionality of our solution overlaps with that of other products and services, and the volume of issued patents and patent applications continues to increase. We have agreed in various agreements to indemnify customers for expenses or liabilities they incur as a result of third-party intellectual property infringement claims associated with our solution. To the extent that any claim arises as a result of third-party technology we use in our solution, we may be unable to recover from the appropriate third party any expenses or other liabilities that we incur.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have received notices and been subject to litigation (and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with respect to the enterprise software market. These and other possible disagreements could lead to delays in the collaborative research, development or commercialization of our systems,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India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labor laws, regulations and standards in India. Non-compliance with and changes in such laws may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comply with various labor and industrial laws in India and the rules made thereunder (each as amended from time to time), which include relevant shops and establishment legislations depending on the States of India in which we operate, the Employees State Insurance Act, 1948, the Employees’ Provident Funds and Miscellaneous Provisions Act, 1952, the Minimum Wages Act, 1948, the Payment of Bonus Act, 1965, the Equal Remuneration Act, 1976, Maternity Benefit Act, 1961, the Sexual Harassment of Women at Workplace (Prevention, Prohibition and Redressal) Act, 2013, the Payment of Gratuity Act, 1972, the Industrial Disputes Act, 1947, and the Contract Labour (Regulation and Abolition) Act, 1970. Because of the complexities of the applicable labor laws in India, we have had prior experiences with lapses in compliance with applicable labor laws. While past lapses could be attributed to technical lapses and human errors, we are setting up a system to track and monitor compliance with the regulatory requirements under applicable labor laws. Currently, although there are no notices or penalty imposed by relevant labor authorities in respect of such lapses, such lapses could result in actions by such authorities, potentially leading to civil and/or criminal penalties and enforcement actions, which in extreme cases, among things, could lead to revocation of licenses or registrations to operate our business. In determining the penalties, the discretion of the regulatory agencies in imposing penalties is generally guided by facts and circumstances of a specific case, particularly, the gravity of the violation and the bona fide of the parties involved. There can be no assurance that the penalties imposed by the regulator while regularizing such past lapses will not adversely affect our business or financial conditions.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India has notified four labor codes, namely, (i) the Code on Wages, 2019, (ii) the Industrial Relations Code, 2020, (iii) the Code on Social Security, 2020 and (iv) the Occupational Safety, Health and Working Conditions Code, 2020. While certain provisions of the Code on Wages, 2019 and the Code on Social Security, 2020 have been brought in force, the effective date of the four labor codes is yet to be notified, and they shall come into force from such date as may be notified by the Government of India. The new codes, if implemented, will subsume several separate legislations, and will introduce several new changes, such as introducing a single registration and license for Indian companies, and provide uniformity in providing social security benefits to employees, which was earlier segregated under different legislations and had different applicability and coverage. We may incur increased costs and other burdens relating to compliance with such new requirements, which may also require significant management time and other resources, and any failure to comply may adversely affect our business,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business and operations are located in India and we are subject to regulatory, economic, social and political uncertainties in India.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portion of our business and some of our employees are located in India, and we intend to continue to develop and expand our business in India. Consequently, our financial performance and the market price of our Ordinary Shares may be affected by changes in exchange rates and controls, interest rates, volatility in and actual or perceived trends in trading activity on India’s principal stock exchanges, prevailing economic conditions, changes in government policies, including taxation policies and foreign investment policies, social and civil unrest and other political, social and economic developments in or affecting India. The Government of India has exercised and continues to exercise significant influence over many aspects of the Indian economy.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we cannot assure you that such liberalization policies will continue. The rate of economic liberalization could change, and specific laws and policies affecting travel service companies, e-commerce, data, foreign investments, currency exchange rates and other matters affecting investments in India could change as well or be subject to unfavorable changes, interpretations, or uncertainty, including by reason of limited administrative or judicial precedents. There can be no assurance that the Government of India may not implement new regulations and policies, which will require us to obtain approvals and licenses or impose onerous requirements and conditions on our operations. A significant change in India’s policy of economic liberalization and deregulation or any social or political uncertainties could adversely affect business, financial condition, results of operations and prospects. Factors that may adversely affect the Indian economy, and hence our results of operations, may include:</w:t>
      </w:r>
    </w:p>
    <w:p>
      <w:pPr>
        <w:spacing w:after="0" w:line="196" w:lineRule="exact"/>
        <w:rPr>
          <w:sz w:val="20"/>
          <w:szCs w:val="20"/>
          <w:color w:val="auto"/>
        </w:rPr>
      </w:pPr>
    </w:p>
    <w:p>
      <w:pPr>
        <w:ind w:left="5540" w:right="4340" w:hanging="5208"/>
        <w:spacing w:after="0" w:line="532" w:lineRule="auto"/>
        <w:tabs>
          <w:tab w:leader="none" w:pos="6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climate, including any increase in Indian interest rates or inflation;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rate fluctuations, the imposition of currency controls and restrictions on the right to convert or repatriate currency or export assets;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scarcity of credit or other financing in India, resulting in an adverse effect on economic conditions in India and scarcity of financing for our expansions;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income conditions among Indian customers and Indian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 pandemic or any other public health in India or in countries in the region or globally, including in India’s various neighboring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and actual or perceived trends in trading activity on, India’s principal stock exchanges;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India’s tax, trade, fiscal or monetary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terrorism or military conflict in India or in countries in the region or globally, including in India’s various neighboring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natural or man-made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regional or global economic conditions, including in India’s principal export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regulatory or economic developments in or affecting India or its consumption sector;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business practices that may conflict with other customs or legal requirements to which we are subject, including anti-bribery and anti-corruption 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and other adverse public policies, including local content requirements, import/export tariffs, increased regulations or capital investment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communications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developing any necessary partnerships with local businesses on commercially acceptable terms or on a timely basis;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the jurisdiction of foreign courts, including uncertainty of judicial processes and difficulty enforcing contractual agreements or judgments in foreign legal systems or incurring additional costs to do so.</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slowdown or perceived slowdown in the Indian economy, or in specific sectors of the Indian economy, could adversely affect our business, results of operations and financial condition and the price of our Ordinary Shares.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impact of any changes to Indian legislation on our business cannot be fully determined at this time. Additionally, our business and financial performance could be adversely affected by unfavorable changes in or interpretations of existing, or the promulgation of new laws, rules and regulations applicable to us and our business, including those relating to consumer protection and privacy. Such unfavorable changes could decrease demand for our services and products, increase costs and/or subject us to additional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Cross-border transactions in India are subject to exchange control regulations of India.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India, transactions between residents and non-residents or transactions involving foreign currencies, such as foreign investment into India, imports and exports of goods and services (including insurance tech licensing or related services), borrowings in foreign currencies, incurrence of any liabilities in foreign currencies (such as non INR denominated guarantees) and overseas investments by resident Indians are regulated by the foreign exchange regulations in India, including Foreign Exchange Management Act, 1999, and the rules and regulations thereunder, each as amended from time to time (“FEMA”). FEMA has classified such transactions into two broad categories: capital account transactions and current account transactions. Capital account transactions (transactions which alter the assets or liabilities, including contingent liabilities, outside of India by persons residing in India or assets or liabilities, including contingent liabilities in India by persons residing outside India) are generally prohibited unless specifically permitted under FEMA, and current account transactions (transactions other than capital account transactions) are generally permitted unless prohibited or specifically regulated by FEMA. Accordingly, investments that were made by a non-resident in Roadzen’s Indian subsidiaries/entities were subject to foreign exchange regulations, which such entities were required under FEMA to report to the Reserve Bank of India. There have been certain lapses in reporting such investments as required under FEMA, which are currently in the process of being regularized. While past lapses could be attributed to technical lapses and human errors, we are setting up a system to track and monitor compliance with the regulatory requirements under applicable laws. Currently, although there are no notices or penalty imposed by the Reserve Bank of India in respect of such lapses, such lapses could result in actions by the Reserve Bank of India, potentially leading to penalties (including late submission fees) and enforcement actions (including compounding process for regularization of the violation), which in extreme cases, among things, could be up to three times the sum involved in such contravention that is the subject matter of violation of the regulatory requirements. In determining the penalties, the discretion of the regulatory agencies in imposing penalties is generally guided by facts and circumstances of a specific case, particularly, the gravity of the violation and the bona fide of the parties involved. While such violations can be regularized under the applicable laws, there can be no assurance that the penalties imposed by the regulator while regularizing such past lapses will not adversely affect our business or financial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we closed may be scrutinized by the tax authorities in India.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Indian Income Tax Act, 1961, as amended from time to time (“Income Tax Act”), income arising directly or indirectly through the sale of a capital asset, including shares of a company incorporated outside of India, will be subject to tax in India, if such shares derive, directly or indirectly, their value substantially from assets located in India, whether or not the seller of such shares has a residence, place of business, business connection, or any other presence in India. Such capital asset (including shares) shall be deemed to derive value substantially from assets located in India if, on the specified date, the value of the Indian assets exceeds the amount of INR 100 million and the overseas company derives 50% or more of its overall value from the Indian assets. However, an exception is available under the Income Tax Act for shareholders who (together with any of their associated enterprises, as defined under Income Tax Act) neither hold more than 5% of voting power of the share capital in the company nor hold any right of management or control in the company, at any time in the 12 months preceding the date of transfer. Similarly, the impact of the above indirect transfer provisions would need to be separately evaluated under the tax treaty scenario of the country of which the shareholder is a tax resident.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indirect transfer tax provisions are applicable, the Company may be required to withhold tax in respect of gains made by respective transferors at the applicable rate and both transferor and the Company would have to undertake requisite compliances in India.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authorities in India may determine that we have a Place of Effective Management in India for a specific financial year or a permanent establishment in India or business connection under the Indian tax regime, a finding of which would subject us to corporate taxation in India.</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certain risks of being subject to corporate taxation in India. One such risk is that if Indian tax authorities determine that the Place of Effective Management (“POEM”) for Roadzen is located in India, then its world-wide income will be taxed at 40% (plus surcharge and cess) in India. The second risk is the risk of “permanent establishment,” which can arise when directors or officers or agents of the company conduct business on behalf of the company while in India, or where an Indian subsidiary carries out the business of its non-Indian parent. Such actions may subject the non-Indian entity’s income derived from the business conducted in India or attributed to India, to being treated as “business income” by the Indian tax authorities and, accordingly, taxed at 40% (plus surcharge and cess).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POEM provisions are described under the Indian domestic tax regime, “permanent establishment” concept and provisions are generally contained under bilateral double taxation avoidance agreements (“International Tax Treaties”) that India has executed with multiple countries globally. India does not have an international tax treaty with the British Virgin Islands, but it has an Agreement for Exchange of Information with respect to taxes with the British Virgin Islands. However, the Income Tax Act contemplates a comparable concept of “business connection,” which has a much wider scope of taxability than that of the permanent establishment under an international tax treaty. Business connection is defined to include significant economic presence. A foreign enterprise may set up a significant economic presence in India if (a) sales from transactions in goods, services or property with any person in India (including provision of data or software downloads) during the tax year exceed INR 20 million (approximately USD 211,295 based on an exchange rate of USD 1.00 = INR 94.6543 as of March 31, 2026, or (b) the Company engages in systematic and continuous soliciting of its business activities or interacts with more than 300,000 Indian users. A significant economic presence may arise even if such foreign enterprise (i) has no physical place of business or employees in India, (ii) does not render any services in India, and/or (c) does not enter into agreements in India.</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 6 of the Income Tax Act, POEM is defined as “a place where key management and commercial decisions that are necessary for the conduct of the business of an entity as a whole are, in substance, made.” The guidance for determining POEM sets forth certain tests to determine if a company is engaged in active business outside India. The POEM of a company with active business outside India is presumed to be outside India if the majority of its board meetings are held outside India in the relevant financial year, subject to certain caveats contained in the circulars issued by the Central Board of Direct Taxes (“CBDT”), Ministry of Finance, Government of India. If a company does not qualify as having active business outside India, there is a two-stage process for determining its POEM. The first stage involves the determination of the people who make key management and commercial decisions for the business of the company as a whole. The second stage involves a determination of the place where such decisions are in fact being made. To this end, factors such as whether the company’s head office is located outside India, where the board of directors meets and makes decisions and whether it delegates any of its authority to senior management for making commercial decisions related to the company, are relevant. Additionally, Circular 8 of 2017 issued by the CBDT provides an exemption from POEM regulations to any company incorporated outside of India with revenues of INR 500 million (approximately USD 5.3 million based on an exchange rate of USD 1.00 = INR 94.6543 as of March 31, 2026) or less in a given financial year.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it is determined by the Indian tax authorities that the Company will have a POEM in India, it will be subject to tax in India on our global income and will be subject to all procedural requirements, including filing a tax return in India and complying with certain tax withholding provisions. The applicable corporate tax rate for a domestic company is 22-30%, however, the Central Board of Direct Taxes, Ministry of Finance, Government of India, prescribes that a foreign company that is deemed to have a POEM in India will be taxed at a rate of 40% plus an applicable surcharge and cess (on tax). A surcharge of 2% of the income tax calculated will be applied if the Company’s total income for any given year exceeds INR 10 million (approximately USD 105,648 based on the exchange rate as of March 31, 2026) but is less than INR 100 million (approximately USD 1.1 million based on the exchange rate as of March 31, 2026), and a surcharge of 5% of the income tax calculated will be applied if the Company’s total income exceeds INR 100 million. Additionally, a health and education cess equal to 4% of income tax as increased by surcharge calculated will be levied).</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Alternatively, if business activities carried out in India by certain persons in their capacity as directors or officers or agents of the Company, the Company may be determined by the Indian tax authorities to have a business connection in India under the Income Tax Act. Each of Mr. Rohan Malhotra, who serves as a director and the Chief Executive Officer of the Company, Mr. Ankur Kamboj, who serves as Roadzen’s Chief Operating Officer, and Mr. Saurav Adhikari, who serves as a director of Roadzen, is an Indian citizen and either resides or spends a portion of his time every year in India. Their actions in India on behalf of Roadzen, taken as a whole, may lead Indian tax authorities to determine that Roadzen has a business connection in India. Such a determination may result in taxation of Roadzen’s income, which is attributable to operations carried on in India, at 40% plus the applicable surcharge and 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a finding by the Indian tax authorities that the Company has a POEM or a business connection in India under the Income Tax Act could have a material adverse effect on our business and 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some of our subsidiaries are already subject to corporate taxes in India and some are not. If any of our non-Indian subsidiaries conducts business or provides services in India, or an individual has the authority to enter into and execute contracts on behalf of such non-Indian subsidiary, and such activities take place in India but do not fall within an exclusion available under the relevant Double Tax Avoidance Agreement between India and the jurisdiction of incorporation of the non-Indian subsidiary, the non-Indian subsidiary’s income from such activities would be taxable in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Ownership of Our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the Company’s securities from trading on its exchange, which could limit investors’ ability to make transactions in its securities and subject the Company to additional trading restrictions.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our Ordinary Shares are publicly traded on The Nasdaq Global Market. We cannot assure you that our Ordinary Shares will continue to be listed on The Nasdaq Global Market. In order to continue listing our securities on The Nasdaq Global Market, we will be required to maintain Continued Listing Requirements as per Rule 5450, including, certain financial, distribution and share price levels, among others.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the Company is not able to list its securities on another national securities exchange, we expect that the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such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such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is a “penny stock” which will require brokers trading in our Ordinary Shares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Since our securities are listed on Nasdaq, they are covered securities. Although the states are preempted from regulating the sale of its securities, the federal statute does allow the states to investigate companies if there is a suspicion of fraud, and, if there is a finding of fraudulent activity, then the states can regulate or bar the sale of covered securities in a particular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could lose all or part of your investment as a result.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trading price of our Ordinary Shares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“Risks Relating to Roadzen’s Business and Industry” and the following:</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such as COVID-19, and its effect on our business and financial conditions;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the Company or its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Company or its competitors of significant contracts, acquisitions, joint ventures, other strategic relationships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the Company’s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the Company’s industry or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 including new laws or regulations or new interpretations of existing laws or regulations applicable to the Company’s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the Company’s Ordinary Shares or other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the investment opportunity associated with the Company’s Ordinary Shares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the Company or third parties, including the Company’s filings with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the Company, the Company’s industry, or both, or investigations by regulators into the Company’s operations or those of the Company’s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the Company provides to the public, any changes in this guidance or the Company’s failure to meet this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the Company’s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natural disasters, war, acts of terrorism or responses to these events.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fluctuations may adversely affect the market price of our Ordinary Shares, regardless of our actual operating performance. In addition, price volatility may be greater if the public float and trading volume of our Ordinary Shares is low.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shareholders have instituted securities class action litigation. If the Company was involved in securities litigation, it could have a substantial cost and divert resources and the attention of executive management from the Company’s business regardless of the outcome of such litigation.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Ordinary Shares for the foreseeable future, you may not receive any return on investment unless you sell your Ordinary Shares for a price greater than that which you paid for it.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intends to retain future earnings, if any, for future operations, expansion and debt repayment and there are no current plans to pay any cash dividends for the foreseeable future. The declaration, amount and payment of any future dividends on our Ordinary Shares will be at the sole discretion of the Company’s board of directors. The Company’s board of directors may take into account general and economic conditions, the Company’s financial condition and results of operations, the Company’s available cash and current and anticipated cash needs, capital requirements, contractual, legal, tax, and regulatory restrictions, implications on the payment of dividends by the Company to its shareholders or by its subsidiaries to it and such other factors as the Company’s board of directors may deem relevant. In addition, the Company’s ability to pay dividends is limited by covenants of Roadzen’s existing and outstanding indebtedness and may be limited by covenants of any future indebtedness the Company incurs. As a result, you may not receive any return on an investment in our Ordinary Shares unless you sell our Ordinary Shares for a price greater than that which you paid for it.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the Company’s business or if they downgrade the Company’s share or the Company’s sector, the Company’s share price and trading volume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the Company’s Ordinary Shares will rely in part on the research and reports that industry or financial analysts publish about the Company or its business. The Company will not control these analysts. In addition, some financial analysts may have limited expertise with the Company’s model and operations. Furthermore, if one or more of the analysts who do cover the Company downgrade its shares or industry, or the shares of any of its competitors, or publish inaccurate or unfavorable research about its business, the price of our shares could decline. If one or more of these analysts ceases coverage of the Company or fails to publish reports on it regularly, the Company could lose visibility in the market, which in turn could cause its stock price or trading volume to decline.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securities may adversely affect the Company, including the market price of our Ordinary Shares, and may be dilutive to existing shareholders.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no assurance that the Company will not incur debt or issue equity ranking senior to its Ordinary Shares. Those securities will generally have priority upon liquidation. Such securities also may be governed by an indenture or other instrument containing covenants restricting its operating flexibility. Additionally, any convertible or exchangeable securities that the Company issues in the future may have rights, preferences and privileges more favorable than those of its Ordinary Shares. Because the Company’s decision to issue debt or equity in the future will depend on market conditions and other factors beyond the Company’s control, it cannot predict or estimate the amount, timing, nature or success of the Company’s future capital raising efforts. The amount of Ordinary Shares issued in connection with an investment or acquisition could constitute a material portion of the Company’s then-outstanding shares of Ordinary Shares. Any issuance of additional securities in connection with investments or acquisitions may result in additional dilution to the Company’s shareholders. As a result, future capital-raising efforts may reduce the market price of the Company’s Ordinary Shares and be dilutive to existing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organizational documents could delay or prevent a change of control.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BVI Companies Act does not currently provide anti-takeover measures, similar to some jurisdictions in the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the Company’s memorandum and articles of association (the “Memorandum and Articles of Association”)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shares held by the Company’s shareholders.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225" w:lineRule="exact"/>
        <w:rPr>
          <w:sz w:val="20"/>
          <w:szCs w:val="20"/>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Company’s board of directors to issue preference shares in one or more series and to designate the price, rights, preferences, privileges and restrictions of such preference shares without any further vote or action by our shareholders;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ind w:left="1300" w:hanging="64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procedures with which shareholders must comply to nominate candidates to the Company’s board of directors or to propose matters to be acted upon at a shareholders’ meeting, which could preclude shareholders from bringing matters before annual or special meetings and delay changes in the Company’s board of directors and also may discourage or deter a potential acquirer from conducting a solicitation of proxies to elect the acquirer’s own slate of directors or otherwise from attempting to obtain control of the Company;</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upon the unanimous approval of all other directors then in office or shareholders representing at least two-thirds (2/3) of the shares entitled to vote at a meeting for the election of directors;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Company’s board of directors to fill vacancies created by the expansion of the Company’s board of directors or the resignation, death or removal of a director.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Roadzen is a BVI company and, because judicial precedent regarding the rights of members is more limited under BVI law than that under U.S. law, you may have less protection for your member rights than you would under U.S.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will be governed by the Memorandum and Articles of Association, as amended and restated from time to time, the BVI Companies Act and the common law of the BVI. The rights of members to take action against the directors, actions by minority members and the fiduciary responsibilities of the Company’s directors to the Company under BVI law are to a large extent governed by the common law of the BVI. The common law of the BVI is derived in part from comparatively limited judicial precedent in the BVI as well as that from English common law, which has persuasive, but not binding, authority on a court in the BVI. The rights of the Company’s members and the fiduciary responsibilities of its directors under BVI law are not as clearly established as they would be under statutes or judicial precedent in some jurisdictions in the U.S. In particular, the BVI has a less exhaustive body of securities laws than the U.S. In addition, some U.S. states, such as Delaware, have more fully developed and judicially interpreted bodies of corporate law than the BVI. There is no statutory recognition in the BVI of judgments obtained in the U.S., although the courts of the BVI will in certain circumstances recognize and enforce a non-penal judgment of a foreign court of competent jurisdiction without retrial on the merits. As a result of all of the above, public members may have more difficulty in protecting their interests in the face of actions taken by management, members of the board of directors or controlling members than they would as members of a U.S. public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you to enforce any judgment obtained in the United States against us, our directors or executive officers or our affiliates.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India has reciprocal recognition and enforcement of judgments in civil and commercial matters with only a limited number of jurisdictions, such as the United Kingdom; however, no reciprocity has been established with the U.S. In order to be enforceable, a judgment from a jurisdiction with reciprocity must meet certain requirements of the Indian Code of Civil Procedure, 1908, as amended from time to time (the “Civil Code”). The Civil Code only permits the enforcement and execution of monetary decrees in the reciprocating jurisdiction, not being in the nature of any amounts payable in respect of taxes, other charges, fines or penalties. Judgments or decrees from jurisdictions which do not have reciprocal recognition with India may be enforced in India only by a fresh suit upon the foreign judgment and not by proceedings in execution. The suit must be brought in India within three (3) years from the date of judgment in the same manner as any other suit filed to enforce a civil liability in India. Generally, there are considerable delays in the disposal of suits by Indian courts. It is unlikely that a court in India would award damages on the same basis as a foreign court if an action were to be brought in India. Furthermore, it is unlikely that an Indian court would enforce foreign judgments if that court was of the view that the amount of damages awarded was excessive or inconsistent with Indian practice. Some remedies available under the laws of U.S. jurisdictions, including remedies available under the U.S. federal securities laws, may not be allowed in Indian courts if contrary to public policy in India. A party seeking to enforce a foreign judgment in India is required to obtain prior approval from the Reserve Bank of India to repatriate any amount recovered. Any judgment in a foreign currency would be converted into Indian Rupees on the date of the judgment and not on the date of the payment. We cannot predict whether a suit brought in an Indian court will be disposed of in a timely manner or be subject to considerable delays.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incorporated under the laws of the British Virgin Islands, shareholders may face difficulties in effecting service of legal process, protecting their interests, and their ability to protect their rights through the U.S. Federal courts may be limited.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British Virgin Islands. As a result, it may be difficult for investors to effect service of process within the United States upon the Company’s directors or officers, or enforce judgments obtained in the United States courts against the Company’s directors or officers.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a British Virgin Islands company and substantially a majority of its assets are located outside of the U.S. A majority of its current operations are conducted in Europe and India. In addition, some of its directors and officers reside outside the U.S. As a result, it may be difficult for you to effect service of process within the U.S. or elsewhere upon these persons. It may also be difficult for you to enforce in Europe, India or British Virgin Islands courts judgments obtained in U.S. courts based on the civil liability provisions of the U.S. federal securities laws against the Company and its officers and directors, and the majority of whose assets are located outside of the U.S. It may be difficult or impossible for you to bring an action against the Company in the British Virgin Islands if you believe your rights under the U.S. securities laws have been infringed. In addition, there is uncertainty as to whether the courts of the British Virgin Islands, Europe or India would recognize or enforce judgments of U.S. courts against the Company or such persons predicated upon the civil liability provisions of the securities laws of the U.S. or any state, and it is uncertain whether such British Virgin Islands, European or Indian courts would hear original actions brought in the British Virgin Islands, Europe or India against the Company or such persons predicated upon the securities laws of the U.S. or any state.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statutory recognition in the British Virgin Islands of judgments obtained in the United States, although the courts of the British Virgin Islands will in certain circumstances recognize such a foreign judgment and treat it as a cause of action in itself which may be sued upon as a debt at common law so that no retrial of the issues would be necessary provided that the U.S. judgment:</w:t>
      </w:r>
    </w:p>
    <w:p>
      <w:pPr>
        <w:spacing w:after="0" w:line="176" w:lineRule="exact"/>
        <w:rPr>
          <w:sz w:val="20"/>
          <w:szCs w:val="20"/>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issuing the judgment had jurisdiction in the matter and the Company either submitted to such jurisdiction or was resident or carrying on business within such jurisdiction and was duly served with process;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for a liquidated sum;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given by the U.S. court was not in respect of penalties, taxes, fines or similar fiscal or revenue obligations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judgment there was no fraud on the part of the person in whose favor judgment was given or on the part of the court;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or enforcement of the judgment would not be contrary to public policy in the British Virgin Islands;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pursuant to which judgment was obtained were not contrary to natural justice.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courts of the British Virgin Islands are also unlikely:</w:t>
      </w:r>
    </w:p>
    <w:p>
      <w:pPr>
        <w:spacing w:after="0" w:line="225" w:lineRule="exact"/>
        <w:rPr>
          <w:sz w:val="20"/>
          <w:szCs w:val="20"/>
          <w:color w:val="auto"/>
        </w:rPr>
      </w:pPr>
    </w:p>
    <w:p>
      <w:pPr>
        <w:ind w:left="1300" w:right="2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the Company judgments of courts of the United States based on certain civil liability provisions of U.S. securities laws where that liability is in respect of penalties, taxes, fines or similar fiscal or revenue obligations of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the Company, in original actions brought in the British Virgin Islands, based on certain civil liability provisions of U.S. securities laws that are penal in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Handling of mail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BVI) will bear any responsibility for any delay howsoever caused in mail reaching the forwarding address.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securities litigation, which is expensive and could divert management attention.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may be volatile and, in the past, companies that have experienced volatility in the market price of their stock have been subject to securities class action litigation. The Company may be the target of this type of litigation in the future. Securities litigation against the Company could result in substantial costs and divert management’s attention from other business concerns, which could seriously harm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Our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operating as a public company, and our management is required to devote substantial time to new compliance initiatives.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requirements.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of up to five years from the pricing of their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and may require us to reduce costs in other areas of our business or increase the prices of our products or services. For example, these rules and regulations made it more difficult and more expensive for us to obtain director and officer liability insurance and we may be required to incur substantial costs in the future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Ordinary Shares.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of 2002.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Ordinary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including purchasers of ordinary shares in this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Ordinary Shares or securities convertible or exchangeable into Ordinary Shares, your ownership interest will be diluted, and the terms of these securities may include liquidation or other preferences that materially adversely affect your rights as a shareholder of Ordinary Shares.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Ordinary Shares less attractive to investors.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enacted in April 2012. For as long as we continue to be an emerging growth company, we intend to take advantage of exemptions from various reporting requirements that are applicable to other public companies that are not emerging growth companies. These include, but are not limited to, exemption from auditor attestation requirements of Section 404 of the Sarbanes-Oxley Act, reduced executive compensation disclosure obligations, in this Annual Report, our periodic reports and our proxy statements, and an exemption from the requirements of holding nonbinding advisory votes on executive compensation, and stockholder approval of any golden parachute payments not previously approved. We could be an emerging growth company through March 31, 2027, although circumstances could cause us to lose that status earlier. We will remain an emerging growth company until the earlier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 billion in non-convertible debt during the prior three-year period; or (iv) the date on which we are deemed to be a large accelerated filer under the rules of the SEC.</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 Even after we no longer qualify as an emerging growth company, we may still qualify as a “smaller reporting company,” which would allow us to continue to take advantage of many of the same exemptions from disclosure requirements and reduced disclosure obligations regarding executive compensation in this Annual Report and our periodic reports and proxy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stock price may be more volatile.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pay cash dividends on our capital stock. We currently intend to retain all of our future earnings, if any, to finance the growth and development of our business. As a result, capital appreciation, if any, of our Ordinary Shares will be your sole source of gain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financial results may differ materially from any guidance we may publish from time to time.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from time to time, provide guidance regarding our future performance that represents our management’s estimates as of the date such guidance is provided. Any such guidance would be based upon a number of assumptions with respect to future business decisions (some of which may change) and estimates, while presented with numerical specificity, are inherently subject to significant business, economic, and competitive uncertainties and contingencies (many of which are beyond our control). Guidance is necessarily speculative in nature and it can be expected that some or all the assumptions that inform such guidance will not materialize or will vary significantly from actual results. Our ability to meet any forward-looking guidance is affected by a number of factors, including, but not limited to, other risks to our business described in this “Risk Factors” section. Accordingly, our guidance is only an estimate of what management believes is realizable as of the date such guidance is provided. Actual results may vary from such guidance and the variations may be material. Investors should also recognize the reliability of any forecasted financial data diminishes the farther into the future the data is forecast. In light of the foregoing, investors should not place undue reliance on our financial guidance and should carefully consider any guidance we may publish in context.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risk management processes in place for identifying, assessing and mitigating cybersecurity and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detect, prevent or mitigate data loss, theft, misuse, unauthorized access, interference with operations, or other security incidents or vulnerabilities affecting the data. The data includes confidential, proprietary, and business and personal information that we collect, process, store, and transmit as part of our business, including on behalf of third parties. Cybersecurity concerns are an important consideration in our application development and the design of our infrastructure and operations technology. We also use systems and processes designed to reduce the impact of a security incident to our clients or their customers. Additionally, we use processes to oversee and identify material risks from cybersecurity threats associated with our use of third-party technology and systems, including: technology and systems that we use for encryption and authentication, employee email, communication to clients and their customers, operational support, and other functions.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executive leadership team is responsible for our overall enterprise risk management system and processes and regularly consider cybersecurity risks in the context of other material risks to the Company. As part of our cybersecurity risk management system, our incident management teams are responsible to track and log privacy and security incidents across Roadzen platforms and our vendors and other third-party service providers to remediate and resolve any incidents, should they arise. In case there are any incidents, it is promptly reviewed by a cross-functional working group to determine whether further escalation is appropriate. Any incident assessed as potentially being or potentially becoming material shall be immediately escalated for further assessment, and shall be reported to designated members of our senior management. We consult with our counsels as appropriate, including on materiality analysis and disclosure matters, and our senior management makes the final materiality determinations and disclosure and other compliance decisions.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corporate governance committee has oversight responsibility for risks and incidents relating to cybersecurity threats, including compliance with disclosure requirements, cooperation with law enforcement, and related effects on financial and other risks, and the committee is responsible to report any findings and recommendations, as appropriate, to the full board for consideration. Senior management regularly discusses cyber risks and trends and, should any issues arise, they review all material incidents with the corporate governance committee. Our corporate governance and audit committees discuss policies with respect to risk assessment and risk management, including risks associated with the reliability and security of the Company’s information technology and security systems, and the steps management has undertaken to monitor and control such exposures. Our board receives updates on the Company’s cybersecurity risk management programs from management.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affected by risks from cybersecurity threats, however, we cannot provide assurance that they will not be materially affected in the future by such risks or any future material incidents. For more information on our cybersecurity related risks, see Item 1A Risk Factors under “</w:t>
      </w:r>
      <w:r>
        <w:rPr>
          <w:rFonts w:ascii="Times New Roman" w:cs="Times New Roman" w:eastAsia="Times New Roman" w:hAnsi="Times New Roman"/>
          <w:sz w:val="18"/>
          <w:szCs w:val="18"/>
          <w:i w:val="1"/>
          <w:iCs w:val="1"/>
          <w:color w:val="auto"/>
        </w:rPr>
        <w:t>Our solutions or products or our third-party cloud providers have experienced in the past,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experience in the future, data security breaches, which could adversely impact our reputation, business, and ongoing operations”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in the U.S., which we lease, are located at 111 Anza Blvd., Suite 109 Burlingame, CA 94010. Additionally we lease office space in Coventry in the U.K., in Ahmedabad, Chennai and New Delhi in India as well as Beijing and Shanghai in China. The Company does not own any real estate. We believe that our existing office space is sufficient for our current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17, 2025, Roadzen filed a lawsuit in Palm Beach County, Florida against Meteora Capital Partners, LP and affiliated entities (“Meteora”), alleging willful breach of contract and conduct that has damaged Roadzen and its public market value. The lawsuit stems from a Forward Purchase Agreement (the “FPA”) signed in August 2023, under which Meteora agreed to acquire 5 million shares in Roadzen at effectively a zero-cost basis and to remit proceeds from the sale of those shares to Roadzen under certain contractual mechanisms. Roadzen alleged that, despite negotiated safeguards, Meteora sold Roadzen shares without honoring its payment obligations or providing the required notices under the FPA. Roadzen also asserted a claim against Meteora for breach of Meteora’s duty of good faith and fair dealing by reason of the foregoing refusal to submit payment upon the sale of the shares of Roadzen stock that in effect Meteora received and was holding at a defacto zero cost basis.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18, 2025, Meteora filed a separate lawsuit against the Company in the Court of Chancery of the State of Delaware, also arising out of the FPA and the subscription agreement, dated August 25, 2023, between the Company and Meteora (the “Subscription Agreement”). In its complaint, among other things, Meteora alleged breach of contract by the Company based on the Company’s registration obligations under the Subscription Agreement and seeks specific performance and damages, as well as declaratory judgment that (i) Meteora complied with its obligations under the FPA and Subscription Agreement, (ii) the Company breached certain of its registration obligations under the Subscription Agreement and (iii) Meteora’s obligations to the Company under the FPA are limited to $914,726.53.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23, 2025, the Company removed the pending action to the United States District Court for the District of Delaware. Thereafter, on June 3, 2025, Meteora moved to remand the action back to the Court of Chancery, and subsequently sought default judgment against the Company in the Chancery Court and also made a separate application to the Chancery Court for summary judgment on the claims asserted. The District Court denied Meteora’s request for default judgement on October 17, 2025. Opposition to Meteora’s application for summary judgment was filed and the Chancery Court held a hearing on May 21, 2026, after which the Chancery Court advised all parties that a decision would be rendered in no more than ninety days. Until the Court renders its decision all proceedings in the case have been held in abeyance.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23, 2025, the Company filed a lawsuit in the United States District Court for the Southern District of New York (“USDC NY”) against the Meteora companies and its principals alleging, among other things, securities fraud and violations of the Racketeer Influenced and Corrupt Organizations Act (“RICO”) by Meteora. The Company filed a voluntary discontinuance of the Florida case against Meteora on October 17, 2025 and thereafter filed an amended complaint in USDC NY to include the breach of contract and breach of duty of good faith and fair dealing originally asserted in the Florida complaint.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30, 2026, Meteora filed an application to dismiss the USDC case; the Company’s opposition papers were filed early March 2026 and the motion is pending decision. Until a decision is rendered, all other proceedings are on hold.</w:t>
      </w:r>
    </w:p>
    <w:p>
      <w:pPr>
        <w:spacing w:after="0" w:line="158"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Our Ordinary Shares and Public Warrants trade on the Nasdaq Global Market under the symbols “RDZN” and “RDZNW,”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were 66 registered holders of record of our Ordinary Shares and 32 holders of record of our Public Warrants. This does not include the number of shareholders that hold shares in “street name” through banks or broker-dealers.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Throughout this section, references to “Roadzen,” “we,” “us,” and “our” refer to Roadzen after the Business Combination, and Roadzen (DE) before the Business Combination, and their consolidated subsidiaries, as the context so requires. The following discussion and analysis of the financial condition and results of operations of Roadzen Inc. and its subsidiaries should be read in conjunction with our consolidated financial statements and the related notes included elsewhere in this Annual Report. The following discussion contains forward-looking statements that involve risks, uncertainties and assumptions. See the section titled “Cautionary Note Regarding Forward-Looking Statements.” Actual results and timing of selected events may differ materially from those anticipated in the forward-looking statements as a result of various factors, including those set forth or referred to under the section titled “Risk Factors” or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Roadzen is a leading Insurtech company on a mission to transform global auto insurance powered by advanced artificial intelligence (“AI”). At the heart of our mission is our commitment to create transparency, efficiency, and a seamless experience for the millions of end customers who use our products through our insurer,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Application Programming Interface, or API-led distribution and real-time claims processing.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telematics, and AI-based applications for the auto insurance ecosystem.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Roadzen has four major client types:</w:t>
      </w:r>
    </w:p>
    <w:p>
      <w:pPr>
        <w:spacing w:after="0" w:line="22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 including insurance companies, reinsurers, agents, brokers;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 including carmakers, dealerships, online-to-offline car sales platforms;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Fleets — including small and medium fleets, taxi fleets, ridesharing platforms, commercial and corporate fleets; and</w:t>
      </w:r>
    </w:p>
    <w:p>
      <w:pPr>
        <w:spacing w:after="0" w:line="225" w:lineRule="exact"/>
        <w:rPr>
          <w:rFonts w:ascii="Times New Roman" w:cs="Times New Roman" w:eastAsia="Times New Roman" w:hAnsi="Times New Roman"/>
          <w:sz w:val="18"/>
          <w:szCs w:val="18"/>
          <w:color w:val="auto"/>
        </w:rPr>
      </w:pPr>
    </w:p>
    <w:p>
      <w:pPr>
        <w:ind w:left="5540" w:right="1780" w:hanging="4884"/>
        <w:spacing w:after="0" w:line="532" w:lineRule="auto"/>
        <w:tabs>
          <w:tab w:leader="none" w:pos="13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 channels such as financial services companies providing auto loans, and telematics companies.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are global, and our partners consist of market-leading insurance companies, fleets and automotive original equipment manufacturers (“OEMs”) and carmakers, including AXA, SCOR, Arch, Société Générale, Jaguar Land Rover, Audi, Mercedes, Volvo and several others. Our subsidiary in the U.K., operates through a specialist Managing General Agent (“MGA”) based in Coventry, which provides auto insurance, extended warranties, and claims management services to insurers, automotive dealers, manufacturers, and fleet operators. This MGA leverages its regulatory license to underwrite and service policies locally while utilizing third-party licenses to deliver solutions globally. It acts as a delegated authority on behalf of insurers, managing policy sales and claims adjudication via its brokerage platform. Revenue is generated through commissions and administrative fees tied to Gross Written Premium (“GWP”), with specialty contracts typically structured over five-year terms. Roadzen’s subsidiary in the U.S., operates a licensed auto club based in Burlingame, California that specializes in commercial roadside assistance (“RSA”) and claims management. With a robust network of over 75,000 service providers nationwide, it offers towing, transportation, and first notice of loss (“FNOL”) services to government fleets, enterprises, insurers, and auto manufacturers. We also operate a California licensed insurance broker and managing general underwriter based in San Diego, California, after acquiring a majority stake in the quarter ended December 31, 2025. These capabilities support our comprehensive suite of mobility and insurance infrastructure services across North America. Roadzen’s subsidiary in India operates as a licensed insurance broker providing distribution and servicing of motor insurance products, including RSA, vehicle inspection, and claim facilitation. We also operate a workshop management platform, digitizing end-to-end auto repair across a network of more than 1,200 verified garages and car repair workshops. Our India operations also serve as the Company’s global technology headquarters, where our product, engineering, and AI teams develop and scale the core platforms that power our insurance and mobility services worldwide. This integrated approach allows us to drive innovation and operational efficiency across all markets we serve.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People’s Republic of China, we operate a data analytics and AI-enabled software company serving the insurance and mobility value chain in the Greater China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Roadzen’s AI Manifesto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mission is to build the leading company at the intersection of artificial intelligence (AI), insurance and mobility. To further our mission, we have built a pioneering lab focused on fundamental and applied AI research. We work on core research areas in computer vision, generative AI, and traditional machine learning to develop product experiences that improve the safety, convenience, and protection of millions of drivers across the world. Roadzen is a founding member of the AI Alliance fostering safe, responsible, and open source development alongside industry leaders such as Meta, IBM, Hugging Face, Stability AI, AMD, Service Now, and others. Our approach to build precision AI models in insurance and mobility has won several industry accolades. Roadzen achieved significant industry recognition for its advancements in AI and technology during FY 2024-25. Honors included ‘Breakthrough in Computer Vision’ (FE AICONIC Summit &amp; Awards 2026), InsurTech Solution of the Year (Fintech Breakthrough Awards 2026), ‘Best Insurtech’ (Bharat Fintech Summit Awards 2026), ‘Best AI in Deep Tech’ at the AI Awards Summit 2025 by Entrepreneur India and secured a spot on the Fintech40 Index by L’Observatoire de la Fintech. It was named the ‘World’s Top InsurTech’ by CNBC in 2024, ‘Most Innovative Use of AI’ by Financial Express at the FE Futech Awards 2024 and won the Gold Stevie Award for its Claims insurance solution at the International Business Awards 2024. Additional recognitions included ‘Excellence in InsurTech’ by the India FinTech Forum (IFTA 2024), ‘Best Use of AI in Insurance’ at the Global AI Summit &amp; Awards (GAISA 2024), and ‘Best Product and Business Team’ at the World Auto Forum 2024. Roadzen also won ‘Best Use of Technology’ at the Entrepreneur Awards 2024 and ‘Most Innovative Company’ at the World Finance Innovation Awards 2024.</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20, 2023, the Parent Company completed the Business Combination in which it acquired Roadzen (DE). Roadzen (DE) was determined to be the accounting acquiror in the Business Combination. Accordingly, the historical financial statements of Roadzen (DE) became the historical financial statements of the combined company upon the consummation of the Business Combination. As a result, the financial statements included in this report reflect (i) the historical operating results of Roadzen (DE) prior to the Business Combination; (ii) the combined results of the Parent Company and Roadzen (DE) following the Closing of the Business Combination; (iii) the assets and liabilities of Roadzen (DE) at their historical cost; and (iv) the Company’s equity structure for all periods presented.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Roadzen has two principal models for generating revenue: 1) Income from Insurance as a Service (IaaS Platform), and 2) Commission and Distribution Income (Brokerage Solutions). We follow a capital-light business model, meaning that we do not underwrite any risk ourselves or carry it on our balance sheet for either source of revenue.</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IaaS Platform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Roadzen provides an IaaS technology platform addressed towards insurance for mobility. The IaaS platform has a suite of products that work cohesively to address the auto insurance value chain. Roadzen sells its IaaS platform to insurers, car manufacturers, and fleet companies to deliver services for their respective insured customers. Our deep understanding of the insurance industry has enabled us to develop a unified suite of modules and products that is tailored to address the key challenges faced in auto insurance. Our solution suite includes several products that support the insurance lifecycle, such as:</w:t>
      </w:r>
    </w:p>
    <w:p>
      <w:pPr>
        <w:spacing w:after="0" w:line="179"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Via</w:t>
      </w:r>
      <w:r>
        <w:rPr>
          <w:rFonts w:ascii="Times New Roman" w:cs="Times New Roman" w:eastAsia="Times New Roman" w:hAnsi="Times New Roman"/>
          <w:sz w:val="18"/>
          <w:szCs w:val="18"/>
          <w:color w:val="auto"/>
        </w:rPr>
        <w:t>: enables fleets, carmakers and insurers to inspect a vehicle using computer vision;</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Distribution Network (“GDN”): </w:t>
      </w:r>
      <w:r>
        <w:rPr>
          <w:rFonts w:ascii="Times New Roman" w:cs="Times New Roman" w:eastAsia="Times New Roman" w:hAnsi="Times New Roman"/>
          <w:sz w:val="18"/>
          <w:szCs w:val="18"/>
          <w:color w:val="auto"/>
        </w:rPr>
        <w:t>enables the configuration, customer quote, payment (in any currency), and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insurance policy with any insurance carrier as the underwriter:</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enables digital, touchless and real-time resolution of claims from FNOL through payment, using telematics and computer vision;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StrandD</w:t>
      </w:r>
      <w:r>
        <w:rPr>
          <w:rFonts w:ascii="Times New Roman" w:cs="Times New Roman" w:eastAsia="Times New Roman" w:hAnsi="Times New Roman"/>
          <w:sz w:val="18"/>
          <w:szCs w:val="18"/>
          <w:color w:val="auto"/>
        </w:rPr>
        <w:t>: enables digital, real-time dispatch and tracking for RSA and FNOL during accident claims;</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Driving</w:t>
      </w:r>
      <w:r>
        <w:rPr>
          <w:rFonts w:ascii="Times New Roman" w:cs="Times New Roman" w:eastAsia="Times New Roman" w:hAnsi="Times New Roman"/>
          <w:sz w:val="18"/>
          <w:szCs w:val="18"/>
          <w:color w:val="auto"/>
        </w:rPr>
        <w:t>: enables insurers and fleets to recognize their best drivers, train poor drivers and build usage-based insurance (“UBI”)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DrivebuddyAI: </w:t>
      </w:r>
      <w:r>
        <w:rPr>
          <w:rFonts w:ascii="Times New Roman" w:cs="Times New Roman" w:eastAsia="Times New Roman" w:hAnsi="Times New Roman"/>
          <w:sz w:val="18"/>
          <w:szCs w:val="18"/>
          <w:color w:val="auto"/>
        </w:rPr>
        <w:t>enables any vehicle to get advanced driver-assistance capabilities utilizing cameras and neural networks to deliver better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on the road.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MixtapeAI: </w:t>
      </w:r>
      <w:r>
        <w:rPr>
          <w:rFonts w:ascii="Times New Roman" w:cs="Times New Roman" w:eastAsia="Times New Roman" w:hAnsi="Times New Roman"/>
          <w:sz w:val="18"/>
          <w:szCs w:val="18"/>
          <w:color w:val="auto"/>
        </w:rPr>
        <w:t>a platform designed to power AI agents and transform customer interactions in the insurance and mobility sectors.</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AutoSpace</w:t>
      </w:r>
      <w:r>
        <w:rPr>
          <w:rFonts w:ascii="Times New Roman" w:cs="Times New Roman" w:eastAsia="Times New Roman" w:hAnsi="Times New Roman"/>
          <w:sz w:val="18"/>
          <w:szCs w:val="18"/>
          <w:color w:val="auto"/>
        </w:rPr>
        <w:t>: a workshop management software platform, digitizing the end-to-end repair journey across a network of workshops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India.</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technology revolutionizes the customer experience by helping customers obtain a policy within seconds and process a claim estimate within minutes in comparison with existing processes that can take weeks. Roadzen’s revenue derived from platform sales is usage-based, meaning we get paid on a per-vehicle or per-use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Roadzen’s IaaS Platform accounted for approximately 49.6% of revenues for the year ended 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 Solutions: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Roadzen acts as an insurance broker utilizing its technology to sell insurance through our embedded and B2B2C distribution model. The policies are sold by insurance intermediaries such as agents and through captive distributors such as dealerships, fleets and used car platforms. Our B2B2C channel partners choose us for a variety of reasons - for the ease of integrating our technology through APIs into their ecosystem, for a seamless, fully digital customer experience from obtaining a policy to submitting a claim, and for integrations with a large number of insurance companies who sell their policies through our platform to give the users a handful of policy options, and our ability to deliver multiple relevant products such as auto insurance, commercial and fleet insurance, extended warranty, guaranteed asset protection, and other automotive related insurance products. Lastly, we are able to provide a superior customer experience for the end user by bundling telematics for road safety, RSA and claims management to the customer - an experience that we believe is unrivaled by other traditional brokers. Roadzen’s revenues are based on commissions and other fees that are paid by our insurance carriers as a percentage of the GWP underwritten for each policy.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Roadzen’s Brokerage Solutions accounted for approximately 50.4% of revenue for the year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likely continue to be, affected by a number of factors, including the following: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in Core Technology and AI</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develop and invest in our technology platform to drive scalability and build innovative products. We believe our significant proprietary investments into our data pipelines, training, model development and our core technology platform are key advantages that allow us to stay ahead of competition, support our growth into global markets and improve operating margins.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in Sales and Marketing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sales and marketing efforts are a key component of our growth strategy. Our investments in this area have enabled us to build and sustain our customer base while creating long-term customer relationships. Our sales efforts are materially dependent on our three different channels: (1) strategic sales to insurers and car companies; (2) sales to small-and-medium fleet owners; and (3) brokerage sales driven by agents, captive distribution channels and reinsurance partnerships. We plan to continue investing in each of these channels of growth including hiring sales personnel, event marketing and global travel.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Investments in Innovation for Future Growth</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world of mobility is changing rapidly due to advances in connected, electric, and autonomous vehicles. We believe this presents an exciting and large opportunity to build insurance for this evolving environment. For this reason, our performance will be impacted by our ability to continuously innovate our underwriting algorithms, internalize new data sources and technologies such as Advanced Driving Assistance Systems (“ADAS”) and video telematics for accident prevention, and invest in partnerships with carmakers for their insurance offerings and for selling insurance into fleets.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Acquiring New Customers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long-term growth will depend on our continued ability to attract new customers to our platform. We intend to continue to drive customers to our platform by expanding our B2B2C model through different avenues.</w:t>
      </w:r>
    </w:p>
    <w:p>
      <w:pPr>
        <w:spacing w:after="0" w:line="162" w:lineRule="exact"/>
        <w:rPr>
          <w:sz w:val="20"/>
          <w:szCs w:val="20"/>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existing geographic and product footprint, we aim to grow by expanding into new markets across our target geographies, leveraging our technology platform to increase our speed to market.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consistently offer cutting edge technology at the intersection of mobility and insurance - a capability that traditional insurance carriers and other insurance intermediaries have struggled to provide. As our clients look to digitize and capture a greater part of the insurance value chain, our technology is the differentiator for them to choose Roadzen as a partner.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i w:val="1"/>
          <w:iCs w:val="1"/>
          <w:color w:val="auto"/>
        </w:rPr>
        <w:t>Expanding Sales Within Our Existing Customer Base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central part of our strategy is expanding solutions adoption across our existing customer base. 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from our platform. As we innovate and bring new technology and solutions to market, we also have the opportunity to realize incremental growth by selling new products to our existing customer base.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expand sales within our customer base will depend on a number of factors, including our customers’ satisfaction, pricing, competition, and changes in our customers’ spending levels. Roadzen’s customers include leading insurers and car companies that have a global presence and are spending millions of dollars on digitizing their insurance offerings. We believe that successful integration in one geography may open up opportunities within other geographies. Roadzen has shown the ability to expand contracts from low ticket size in India to higher ticket size in global markets. We have a significant focus on maximizing the lifetime value of our customer relationships, and we continue to make significant investments in order to grow our customer base.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January 1, 2023 we began tracking customer segmentation for Roadzen, described as such: enterprise clients that include insurers, automakers and large fleets (above 100 vehicles), and SMB clients, which include agents, brokers, small dealerships, and small fleets (under 100 vehicles). As of March 31, 2026, we had 61 insurance customer agreements (including carriers, self-insureds and other entities processing insurance claims), 91 automotive customer agreements, and approximately 4,200 agents and fleet customers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Strength of the Auto Insurance Market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a majority of our revenues through commissions and fees which are a reflection of the total insurance policy premium. Roadzen derived 50.4% of revenue from its Brokerage Solutions and 49.6% from its IaaS Platform for the year ended March 31, 2026. A softening of the insurance market characterized by a period of declining premium rates due to competition or regulation could negatively impact our financial results.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Regulatory Environment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insurance broking business is subject to various laws and regulations and our inability to comply with them may adversely affect our business, results of operations, and reputation.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subsidiary in India is licensed to act as a direct insurance broker (life and general) under the Insurance Brokers Regulations of India. Accordingly, we are subject to certain laws, regulations and licensing requirements. Insurance brokers operating in India are required to comply with various regulatory requirements, including stipulations that: (i) the principal officer and broker qualified persons of an insurance broker must undergo training and pass the relevant examinations specified by the IRDAI; (ii) the principal officer, directors, shareholders and key management personnel must fulfill the “fit and proper” criteria specified under the Insurance Brokers Regulations; (iii) insurance brokers may not undertake multi-level marketing for solicitation and procuring of insurance products; (iv) insurance brokers may not offer any rebate or any other inducement to a client; (v) insurance brokers must conduct their business in compliance with the code of conduct specified under the Insurance Brokers Regulations; and (vi) insurance brokers must ensure that not more than 50% of their remuneration emanates from one client in a financial year. The IRDAI may undertake inspection of the premises of an insurance broker to ascertain how activities are carried on, and inspect their books of accounts, records and documents. The Insurance Brokers Regulations specify certain approval and reporting requirements to be adhered to by the insurance brokers from time to time, as applicable. We would be subject to fines and penalties if we fail to comply with the Insurance Brokers Regulations. We derive revenues primarily from commissions and other fees paid by insurance carriers for insurance products purchased by our customers.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commissions that we can charge to our insurer partners are based on charges set forth under the IRDAI (Payment of Commission or Remuneration or Reward to Insurance Agents and Insurance Intermediaries) Regulations, 2016 (“IRDAI Commissions Regulations”). The IRDAI (Minimum Information Required for Investigation and Inspection) Regulations, 2020 (“Minimum Information Regulations”), effective from May 23, 2021, are applicable to all insurers and insurance intermediaries in relation to purposes of investigation and inspection by the IRDAI.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Inter-related companies within the group are subject to a stringent regulatory framework that affects the flexibility of our operations and increases compliance costs, and any regulatory action against us and our employees may result in penalties and/or sanctions that could have an adverse effect on our business, prospects, financial condition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regulatory and policy environment in which we operate is evolving and is subject to change. The government of India (“GoI”) may implement new laws or other regulations and policies that could affect the fintech industry, which could lead to new compliance requirements, including requiring us to obtain approvals and licenses from the GoI and other regulatory bodies, or impose onerous requirements. New compliance requirements could increase our costs or otherwise adversely affect our business, financial condition and results of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subsidiary in the U.K. is licensed as a MGA, under which we are subject to stringent oversight by the FCA. Our operations must align with FCA regulations that are specifically tailored to govern the conduct and obligations of MGAs, which act as an intermediary between insurers and clients, with delegated authority to underwrite and process claims on behalf of insurers. Our adherence to these regulations encompasses a variety of compliance obligations, including but not limited to, ensuring that underwriting decisions are made with the requisite skill and care, maintaining accurate and secure records of insurance contracts, managing potential conflicts of interest, and safeguarding client funds. The FCA also imposes comprehensive conduct rules and solvency requirements that require us to act with due care in the interests of policyholders.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FCA’s regime for MGAs mandates a high level of financial prudence and transparency, necessitating robust internal controls and reporting systems. Failure to meet these stringent regulatory requirements could result in significant sanctions, including financial penalties, suspension of authorization, or other disciplinary actions. Given the evolving nature of the regulatory environment, changes in the FCA’s rules or the introduction of new legislation could necessitate adjustments to our operational and compliance processes. These changes could carry implications for our business model and may incur additional compliance costs, ultimately impacting our financial results and operational flexibility.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Roadzen is committed to maintaining a rigorous compliance posture to meet the FCA’s expectations for MGAs. Any lapse in our compliance framework could lead to regulatory scrutiny, damage our reputation, and negatively affect our business operations and financial position. It is imperative for us to continuously monitor regulatory developments and adapt our compliance measures accordingly to mitigate the risk of enforcement actions and to uphold the trust of our clients and partners.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FCA has the authority to suspend the sale of any insurance product sold within the U.K. and for which it has oversight, if it does not believe a firm or a product is protecting the interests of U.K. consumers. For examples, in February 2024, the FCA paused all sales of the Guaranteed Asset Protection (“GAP”) product, a key contributor to our operations in the U.K., directing all insurers, including our insurance partner, to temporarily cease selling the GAP product. The regulator mandated insurers to make a resubmission, or new GAP proposal, outlining product features, coverages and pricing for approval by the FCA before sales of the GAP product could be resumed. Although our insurance partner, which is obligated to adhere to FCA guidelines, eventually received approval to sell GAP products, the resubmission and approval process had a significant impact on our revenue, financial performance, and overall profitability.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auto club subsidiary in the U.S. is licensed in California, which exposes Roadzen to a distinct set of risks due to the stringent regulatory landscape enforced by the California Department of Insurance (“CDI”). Compliance with these regulations is paramount, as they govern a wide spectrum of our activities, including membership services, claims management, and financial integrity.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U.S. managing general underwriter (“MGU”) subsidiary holds insurance producer licenses in California, Texas, Illinois, and New Jersey, and operates under Coverholder authority granted by Lloyd’s of London, which permits it to bind risks on behalf of one or more Lloyd’s syndicates within the scope of a binding authority agreement. Our U.S. MGU operations are subject to extensive regulation at the U.S. state level, including licensing, financial responsibility, fiduciary handling of premium and claim funds, recordkeeping, reporting, market conduct, producer compensation, and, in certain states, specific managing general agent statutes modeled on the National Association of Insurance Commissioners’ Managing General Agents Act. Our Coverholder authority is governed by the binding authority agreements with our Lloyd’s carriers and by the underwriting, audit, conduct, complaint-handling, sanctions, and reporting standards established by Lloyd’s and overseen in the United Kingdom by the Prudential Regulation Authority and the FCA. Our financial performance depends on our ability to maintain these licenses and authorities in good standing, to operate within delegated underwriting authority and aggregate limits set by our carriers, and to comply with applicable state and Lloyd’s requirements. Changes in state insurance laws or regulations, modifications to Lloyd’s Coverholder or delegated authority standards, loss or suspension of a license or Coverholder authority, reductions or non-renewals of delegated underwriting authority by our carrier partners, adverse findings from regulatory examinations or carrier audits, or changes in commission structures or premium volumes in the lines we administer could each have a material effect on the revenue, operating results, and cash flows. We also incur ongoing compliance costs to support our multi-jurisdictional licensing footprint, which we expect to increase as we expand into additional states and add carrier relationships.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Manage Risk with Data and Technology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highly dependent on the reliability, availability, and security of our technology platform and data. Our operations rely on the secure processing and storage of confidential information, including our information systems and networks and those of our third-party service providers. Disruptions in the technology platform, systems and control failures, security breaches, or inadvertent disclosure of user data could result in legal exposure, harm our reputation and brand, and ultimately affect our ability to attract and retain customers. Although we have implemented administrative and technical controls and have taken protective actions to reduce risk, such measures may be insufficient to prevent unauthorized and malicious attacks. As our technology-enabled platform is reliant on data from external parties, such attacks or disruption in our data sources can impact our ability to operate effectively and result in damage to our reputation and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access to our IaaS solutions through contractual agreements with our customers, whereby the customer receives one or a bundle of our solutions, which can include inspection, claims management, RSA, and/or telematics offerings. The average contract length for our IaaS customers is approximately three years. Our clients pay us on a fixed fee per-incident or per-vehicle. Our brokerage revenues are based on commissions and fees that we receive from our insurance partners for selling their policies to customers as well as providing other client services such as claims management. Our commissions and fees are calculated as a percentage of the GWP underwritten for each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of services for distribution business includes commissions paid to the point-of-sale person, cost of employees and other direct expenses related to facilities.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our IaaS platform, cost of services primarily consists of direct costs involved in delivering the services to the customers, including external provider cost for inspections and RSA, as well as additional costs such as employee benefit expenses. Costs forming part of cost of revenue are recognized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primarily of employee-related costs, including salaries, stock-based compensation, employee benefits and other expenses. It also includes the cost of annotating data pipelines for AI, the cost of building and maintaining our own AI servers for training and the cloud costs for production deployments. We continue to focus our research and development efforts on adding new features and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include expenditures related to advertising, channel partner incentives, media, promotional and bundling costs, brand awareness activities, business development, corporate partnerships and allocated overhead costs. These expenses are a reflection of our efforts to expand our market reach for distributing insurance policies. Sales and marketing expenses also consist of employee-related costs directly associated with our sales and marketing activities, including salaries, stock-based compensation and employee benefits.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customer base and increase the awareness of end customers about our products. As a result, we expect our sales and marketing expenses to increase in absolute dollars for the foreseeable future. While we expect our sales and marketing expenses to decrease as a percentage of our revenue over the long-term, our sales and marketing expenses may fluctuate as a percentage of our revenue from period to period due to the timing and extent of these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IT, and facilities personnel, including salaries, stock-based compensation, employee benefits, professional fees for external legal, accounting, and other consulting services, and allocated overhead costs.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in absolute dollars for the foreseeable future to support our growth as well as due to additional costs associated with legal, accounting, compliance, insurance, investor relations, and other costs as we operate as a public company. While we expect our general and administrative expenses to decrease as a percentage of our revenue over the long-term, our general and administrative expenses may fluctuate as a percentage of our revenue from period to period due to the timing and extent of these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reflects the recognition of the cost of our tangible and intangible assets over their useful life. Depreciation expenses relate to equipment, hardware and purchased software. Amortization relates to investments related to recent acquisitions, internal software development and investments made in intellectual property development. Depreciation and amortization are expected to increase slightly in dollar amount over time but will likely decrease as a percentage of revenue as investments in platform technology reach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in Financial Instruments Carried at Fair Value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outstanding notes and warrants are financial liabilities measured at fair value with fair value changes recognized in profit or loss. We carry out a periodic fair valuation exercise and recognize the increase or decrease in the carrying values of these financial instruments in our Consolidated Statements of Operations. Such fair value changes are primarily driven by changes in our equity value, risk free interest rates and credit risk premia.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intangibles with definite life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Impairment of goodwill and intangibles can arise from various factors, including economic fluctuations, industry changes, technological advancements, and evolving customer preferences. When the carrying value of these assets exceeds their recoverable amount, impairment occurs, leading to a decrease in reported value on our financial statements. Recognizing and addressing impairment in a timely and effective manner is essential. Regular assessments and impairment tests are necessary to identify potential impairments and determine the recoverable amount of these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expense/(benefit) consists primarily of income taxes in certain foreign and state jurisdictions in which we conduct business. We maintain a full valuation allowance against our U.S. and certain foreign jurisdictions’ deferred tax assets because we have concluded that it is more likely than not that the deferred tax assets will not be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Results of Operations (all figures are denominated in U.S.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2026 and March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Change amount</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55,021,792</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44,296,098</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10,725,694</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21,277,579</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18,833,218</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2,444,361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408,355</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3,779,955</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(3,371,600)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29,111,662</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28,873,150</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238,512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15,976,982</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51,602,107</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(35,625,125)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2,244,268</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2,020,610</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223,658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9"/>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69,018,846</w:t>
            </w:r>
          </w:p>
        </w:tc>
        <w:tc>
          <w:tcPr>
            <w:tcW w:w="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105,109,040</w:t>
            </w:r>
          </w:p>
        </w:tc>
        <w:tc>
          <w:tcPr>
            <w:tcW w:w="3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(36,090,194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(13,997,054)</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(60,812,942)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46,815,888</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(7,249,803)</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(3,247,831)</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(4,001,972)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174,248</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174,248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gains/(losses) in financial instruments carried</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(3,984,386)</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(14,844,420)</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10,860,034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(269,470)</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(1,245,326)</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975,856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2,329,515</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7,073,235</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(4,743,720)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9"/>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(8,999,896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(12,264,342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3,264,446</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(22,996,950)</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(73,077,284)</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50,080,334</w:t>
            </w:r>
          </w:p>
        </w:tc>
        <w:tc>
          <w:tcPr>
            <w:tcW w:w="3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r>
      <w:tr>
        <w:trPr>
          <w:trHeight w:val="22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(benefit)/expense</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20,212</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(13,973)</w:t>
            </w:r>
          </w:p>
        </w:tc>
        <w:tc>
          <w:tcPr>
            <w:tcW w:w="1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34,185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Loss before non-controlling interest</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Net loss attributable to non-controlling interest, net of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(23,017,162)</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(73,063,311)</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50,046,149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r>
      <w:tr>
        <w:trPr>
          <w:trHeight w:val="423"/>
        </w:trPr>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(500,940)</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(192,879)</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(308,061)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3"/>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(22,516,222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(72,870,432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50,354,210</w:t>
            </w: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-736600</wp:posOffset>
            </wp:positionV>
            <wp:extent cx="7132320" cy="282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880" w:space="400"/>
            <w:col w:w="6960"/>
          </w:cols>
          <w:pgMar w:left="320" w:top="684"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and Distribution Income</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25,997,261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23,447,282</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2,549,979</w:t>
            </w: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Insurance as a Service</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29,024,531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20,848,816</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8,175,715</w:t>
            </w: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39.2%</w:t>
            </w:r>
          </w:p>
        </w:tc>
      </w:tr>
      <w:tr>
        <w:trPr>
          <w:trHeight w:val="20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55,021,792</w:t>
            </w:r>
          </w:p>
        </w:tc>
        <w:tc>
          <w:tcPr>
            <w:tcW w:w="3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44,296,098</w:t>
            </w:r>
          </w:p>
        </w:tc>
        <w:tc>
          <w:tcPr>
            <w:tcW w:w="3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10,725,694</w:t>
            </w:r>
          </w:p>
        </w:tc>
        <w:tc>
          <w:tcPr>
            <w:tcW w:w="320" w:type="dxa"/>
            <w:vAlign w:val="bottom"/>
          </w:tcPr>
          <w:p>
            <w:pPr>
              <w:spacing w:after="0"/>
              <w:rPr>
                <w:sz w:val="18"/>
                <w:szCs w:val="18"/>
                <w:color w:val="auto"/>
              </w:rPr>
            </w:pPr>
          </w:p>
        </w:tc>
        <w:tc>
          <w:tcPr>
            <w:tcW w:w="148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w w:val="95"/>
              </w:rPr>
              <w:t>24.2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increased $10.7 million, or 24.2%, for the year ended March 31, 2026, compared to the prior year.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Commission and Distribution Income increased $2.5 million, or 10.9%, for the year ended March 31, 2026, compared to the prior year. The growth was primarily driven by strategic expansion initiatives, including the acquisition of Elite Cover Insurance in the U.S., which contributed approximately $1.0 million in revenue, and an asset acquisition in India, which contributed approximately $1.5 million. The increase was partially offset by a decline in revenue from the U.K. market; however, this impact was mitigated by continued organic growth in India, supporting the overall increase in Commission Distribution income during the year.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the Insurance-as-a-Service (IaaS) platform increased by approximately $8.2 million, or 39.2%, for the year ended March 31, 2026, compared to the prior year. The increase was primarily driven by the consolidation of our VIE in China, which contributed approximately $3.0 million in revenue, and the acquisition of a vehicle care business in India, which contributed approximately $0.7 million for the 3 months period. The remaining increase was attributable to the continued expansion of our existing business operations, including growth from our current customer base and increased adoption of our IaaS platform offerings.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maintained 61 insurance customer agreements and 91 automotive customer agreements, as well as approximately 4,200 agents and fleet customer agreements.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21,277,579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18,833,218</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2,444,361</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$2.4 million, or 13.0%, for the year ended March 31, 2026, compared to the prior year. The increase was primarily driven by the consolidation of our VIE China, which contributed approximately $1.5 million, and the acquisition of a Vehicle Care business in India, which contributed approximately $0.4 million. The remaining increase was attributable to the growth and expansion of our existing business operations, including higher service delivery costs associated with increased business volumes.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3,779,955</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(3,371,600)</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$3.4 million, or 89.2%, for the year ended March 31, 2026, compared to the prior year. The decrease was primarily driven by a reduction of approximately $2.6 million in non-cash compensation expense related to RSU grants, an increase of approximately $0.6 million in capitalized development costs compared to the prior period, and a decrease of approximately $0.2 million in technology personnel and consulting expenses. The reduction reflects lower share-based compensation expense and a greater allocation of eligible development costs to capitalized assets, along with efficiencies in technology-related spending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29,111,662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28,873,150</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238,512</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$0.2 million, or 0.8%, for the year ended March 31, 2026, compared to the prior year. The increase was primarily attributable to higher marketing and business development expenses incurred to support the growth of our distribution income and expand market reach. This increase was partially offset by a decrease of approximately $3.6 million in non-cash compensation expense related to RSU grants compared to the prior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15,976,982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51,602,107</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(35,625,125)</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$35.6 million, or 69.0%, for the year ended March 31, 2026, compared to the prior year. The decrease was primarily driven by a reduction of approximately $40.7 million in non-cash compensation expense related to RSU grants. The decrease was partially offset by an increase in expenses of approximately $1.5 million due to the consolidation of our VIE in China and approximately $0.4 million related to the acquisition of EliteCover. The remaining variance was attributable to changes in routine operating activities during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2,244,268</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2,020,610</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223,658</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increased $0.2 million, or 11.1%, for the year ended March 31, 2026, compared to the prior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income/(expense)</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(7,249,803)</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(3,247,831)</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(4,001,972)</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increased $4.0 million, or 123.2%, for the year ended March 31, 2026, compared to the prior year primarily due to an increase in borrowings from banks and other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in Financial Instruments Carried at Fair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1"/>
        </w:trPr>
        <w:tc>
          <w:tcPr>
            <w:tcW w:w="4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Fair value changes in financial instruments carried at</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(3,984,386)</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(14,844,420)</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10,860,034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changes in financial instruments decreased by approximately $10.9 million, or 73.2%, for the year ended March 31, 2026, compared to the prior year. The decrease was primarily due to lower fair value adjustments recognized during the current period for the Company’s convertible promissory notes, share warrants, and forward purchase agreement, as compared to the prior-year period.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prior-year period included significant fair value remeasurement impacts arising from changes in the valuation of these financial instruments, which resulted in higher gains/losses compared to the current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Investment</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(1,245,326)</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975,856</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its non-marketable equity investments for impairment at each reporting period through a qualitative assessment of relevant impairment indicators, including significant adverse changes in the investee’s business performance, operating environment, legal or regulatory factors, or the availability of relevant financial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the Company identified indicators of impairment related to its investment in Moonshot - Internet SAS (“Moonshot”) and recognized an impairment charge of approximately $0.3 million to write down the carrying value of the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2,329,515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7,073,235</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(4,743,720)</w:t>
            </w: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decreased by approximately $4.7 million, or 67.1%, for the year ended March 31, 2026, compared to the prior year. The decrease was primarily attributable to a reduction in the reversal of certain liabilities related to payables assumed in connection with the Business Combination. During the current period, the Company recognized a write-back of approximately $2.5 million, compared to approximately $6.5 million recognized in the prior-year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prior-year period benefited from approximately $0.7 million of income recognized from the write-off of customer contract-related balances, which did not recur during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Earnings Before Interest, Tax, Depreciation and Amortization (“Adjusted EBITDA”) is a non-GAAP financial measure which excludes the impact of finance costs, taxes, depreciation &amp; amortization and certain other items from reported net profit or loss. We believe that Adjusted EBITDA aids investors by providing an operating profit/loss without the impact of non-cash depreciation and amortization and certain other items to help clarify sustainability and trends affecting the business. For comparability of reporting, management considers non-GAAP measures in conjunction with U.S. GAAP financial results in evaluating business performance. Adjusted EBITDA should not be considered a substitute for, or superior to, the measures of financial performance prepared in accordance with U.S. GAAP.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our net loss reported in accordance with GAAP to Adjusted EBITDA for the year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(22,516,222)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(72,870,432)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(2,329,515)</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(7,073,235)</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(income)/expense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7,249,803</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3,247,831</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(174,248)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Fair value changes in financial instruments carried at fair value</w:t>
            </w:r>
            <w:r>
              <w:rPr>
                <w:rFonts w:ascii="Times New Roman" w:cs="Times New Roman" w:eastAsia="Times New Roman" w:hAnsi="Times New Roman"/>
                <w:sz w:val="29"/>
                <w:szCs w:val="29"/>
                <w:color w:val="auto"/>
                <w:vertAlign w:val="superscript"/>
              </w:rPr>
              <w:t>(1)</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3,984,386</w:t>
            </w:r>
          </w:p>
        </w:tc>
        <w:tc>
          <w:tcPr>
            <w:tcW w:w="6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14,844,420</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269,470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1,245,326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(benefit)/expense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20,212</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2,244,268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2,020,610</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497,806</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47,211,816</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2,990,808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1,649,448</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4,252,368</w:t>
            </w:r>
          </w:p>
        </w:tc>
        <w:tc>
          <w:tcPr>
            <w:tcW w:w="6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1,340,062</w:t>
            </w: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(3,510,864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(8,398,127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66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financial instruments are considered to be financing costs as they relate to convertible notes and liability-classified preferred stock warrants previously issued in financing transactions. These changes are non-cash as the Company does not have an unconditional obligation to settle the convertible notes and preferred stock warrants in cash. These changes in fair value are affected by the Company’s own share price as these are settleable/convertible into the Company’s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net loss reported in accordance with GAAP to Adjusted EBITDA for the three months period ended March 31, 2026 and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(7,253,912)</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193,775</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(3,861,541)</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(income)/expense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1,871,764</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714,899</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(174,248)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Fair value changes in financial instruments carried at fair value</w:t>
            </w:r>
            <w:r>
              <w:rPr>
                <w:rFonts w:ascii="Times New Roman" w:cs="Times New Roman" w:eastAsia="Times New Roman" w:hAnsi="Times New Roman"/>
                <w:sz w:val="29"/>
                <w:szCs w:val="29"/>
                <w:color w:val="auto"/>
                <w:vertAlign w:val="superscript"/>
              </w:rPr>
              <w:t>(1)</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(635,187)</w:t>
            </w:r>
          </w:p>
        </w:tc>
        <w:tc>
          <w:tcPr>
            <w:tcW w:w="4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(1,681,725)</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269,470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1,245,326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(benefit)/expense</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(46,966)</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69,709</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1,057,462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1,046,539</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285,243</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76,397</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2,556,635</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493,210</w:t>
            </w: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1,437,515</w:t>
            </w:r>
          </w:p>
        </w:tc>
        <w:tc>
          <w:tcPr>
            <w:tcW w:w="44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386,746</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(438,449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(1,617,407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financial instruments are considered to be financing costs as they relate to convertible notes and liability-classified preferred stock warrants previously issued in financing transactions. These changes are non-cash as the Company does not have an unconditional obligation to settle the convertible notes and preferred stock warrants in cash. These changes in fair value are affected by the Company’s own share price as these are settleable/convertible into the Company’s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our incorporation, we have financed our growth through a blend of equity, convertible instruments, debt (including working capital lines), and customer payments. As of March 31, 2026, we have raised an aggregate of $69.7 million, net of issuance costs, through the issuance of Ordinary Shares, convertible instruments and preferred stock of Roadzen (DE). Our accumulated deficit stood at $247.5 million as of March 31, 2026, compared to $224.3 million as of March 31, 2025. These accumulated deficits stem from substantial operating losses, which stems from fair valuation, vesting of RSU, impairment of investment and intangible assets, transaction costs arose from business combination. These losses have been detailed on the table below. We anticipate that we will continue to experience operating losses and generate negative cash flows from operations over an extended period due to the planned investments in our business. Consequently, we will need to secure additional capital resources to support the execution of our strategic initiatives for growing our business in the coming years.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Details of Accumulated deficit:</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FY 2026</w:t>
            </w:r>
          </w:p>
        </w:tc>
        <w:tc>
          <w:tcPr>
            <w:tcW w:w="17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3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 millions)</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 millions)</w:t>
            </w:r>
          </w:p>
        </w:tc>
        <w:tc>
          <w:tcPr>
            <w:tcW w:w="100" w:type="dxa"/>
            <w:vAlign w:val="bottom"/>
            <w:tcBorders>
              <w:bottom w:val="single" w:sz="8" w:color="CCEEFF"/>
            </w:tcBorders>
            <w:gridSpan w:val="2"/>
          </w:tcPr>
          <w:p>
            <w:pPr>
              <w:spacing w:after="0"/>
              <w:rPr>
                <w:sz w:val="20"/>
                <w:szCs w:val="20"/>
                <w:color w:val="auto"/>
              </w:rPr>
            </w:pP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(end of year)</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Cash Losses: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Losses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based compensation Losses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Investments &amp; Intangibles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 cash losses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 Business Combination</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3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growth, our ability to attract and retain customers, the continued market acceptance of our solutions, the timing and extent of spending to support our efforts to develop our platform, and the expansion of sales and marketing activities. Further, we may in the future enter into arrangements to acquire or invest in businesses, products, services and technologies. We will be required to seek additional equity or debt financing. In the event that additional financing is required, we may not be able to raise it on terms acceptable to us or at all. If we are unable to raise additional capital when desired,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 amount</w:t>
            </w: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7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(22,516,222)</w:t>
            </w:r>
          </w:p>
        </w:tc>
        <w:tc>
          <w:tcPr>
            <w:tcW w:w="58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(72,870,432)</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50,354,210</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cash flow from operation</w:t>
            </w:r>
          </w:p>
        </w:tc>
        <w:tc>
          <w:tcPr>
            <w:tcW w:w="2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6,291,873</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57,171,217</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(50,879,344)</w:t>
            </w: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(4,047,053)</w:t>
            </w:r>
          </w:p>
        </w:tc>
        <w:tc>
          <w:tcPr>
            <w:tcW w:w="5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(2,442,983)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(1,604,070)</w:t>
            </w: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(20,271,402</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(18,142,198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cash provided by operations are increases in accounts payables and payments received from our customers. Our primary uses of cash from operating activities include employee-related expenses, sales and marketing expenses, third-party cloud infrastructure expenses and other overhead costs.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net cash used in operating activities was $20.3 million, compared to $18.1 million for the year ended March 31, 2025. The cash outflow in the year ended March 31, 2026 was primarily driven by a net loss of $22.5 million, and net cash outflows of $4.0 million resulting from changes in operating assets and liabilities. These outflows were partially offset by non-cash adjustments totaling $6.3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Non-cash charges for the period included:</w:t>
      </w:r>
    </w:p>
    <w:p>
      <w:pPr>
        <w:spacing w:after="0" w:line="225"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in fair value losses,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 stock-based compensation expense,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 depreciation and amortization,</w:t>
      </w:r>
    </w:p>
    <w:p>
      <w:pPr>
        <w:spacing w:after="0" w:line="9" w:lineRule="exact"/>
        <w:rPr>
          <w:rFonts w:ascii="Times New Roman" w:cs="Times New Roman" w:eastAsia="Times New Roman" w:hAnsi="Times New Roman"/>
          <w:sz w:val="18"/>
          <w:szCs w:val="18"/>
          <w:color w:val="auto"/>
        </w:rPr>
      </w:pPr>
    </w:p>
    <w:p>
      <w:pPr>
        <w:ind w:left="1300" w:right="6960" w:hanging="320"/>
        <w:spacing w:after="0" w:line="26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 impairment of investment $2.6 million in Expected Credit Loss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 non-cash gains, notably:</w:t>
      </w:r>
    </w:p>
    <w:p>
      <w:pPr>
        <w:spacing w:after="0" w:line="225"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related to non-cash gains, and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 unrealized foreign exchange gains/(losses).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year-over-year increase in net cash used in operating activities reflects the impact of continued investment in strategic initiatives, increased working capital outflows due to timing differences in collections and payments. Management continues to monitor liquidity closely and is actively pursuing measures to optimize working capital and align operational costs with revenue growth expectations.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 amount</w:t>
            </w: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92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(1,009,660)</w:t>
            </w:r>
          </w:p>
        </w:tc>
        <w:tc>
          <w:tcPr>
            <w:tcW w:w="66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(424,910)</w:t>
            </w:r>
          </w:p>
        </w:tc>
        <w:tc>
          <w:tcPr>
            <w:tcW w:w="2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(584,750)</w:t>
            </w:r>
          </w:p>
        </w:tc>
      </w:tr>
      <w:tr>
        <w:trPr>
          <w:trHeight w:val="22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mutual fund</w:t>
            </w:r>
          </w:p>
        </w:tc>
        <w:tc>
          <w:tcPr>
            <w:tcW w:w="2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112,847</w:t>
            </w:r>
          </w:p>
        </w:tc>
        <w:tc>
          <w:tcPr>
            <w:tcW w:w="6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309,289</w:t>
            </w:r>
          </w:p>
        </w:tc>
        <w:tc>
          <w:tcPr>
            <w:tcW w:w="2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(196,442)</w:t>
            </w: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(781,192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approximately $0.9 million for the year ended March 31, 2026. The cash outflow was primarily attributable to the capitalization of approximately $1.0 million in software development expenditures, primarily comprising personnel costs incurred in the creation and enhancement of software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outflows were partially offset by proceeds of approximately $0.1 million from the sale of investments in mutual funds classified as held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$0.1 million for the year ended March 31, 2025, which primarily consisted of $0.4 million of capital expenditure for new office facilities, partially offset by receipts from investments in mutual funds (held for sale) of $0.3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Change amount</w:t>
            </w: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issue of ordinary shares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6,519,429</w:t>
            </w:r>
          </w:p>
        </w:tc>
        <w:tc>
          <w:tcPr>
            <w:tcW w:w="5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7,073,913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(554,484)</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equity shares of subsidiary to Non-controlling interest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6,645,789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6,645,789</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proceeds/(payments) from borrowings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8,279,523</w:t>
            </w:r>
          </w:p>
        </w:tc>
        <w:tc>
          <w:tcPr>
            <w:tcW w:w="5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3,669,290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4,610,233</w:t>
            </w:r>
          </w:p>
        </w:tc>
      </w:tr>
      <w:tr>
        <w:trPr>
          <w:trHeight w:val="216"/>
        </w:trPr>
        <w:tc>
          <w:tcPr>
            <w:tcW w:w="5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proceeds/(payments) from borrowings</w:t>
            </w:r>
          </w:p>
        </w:tc>
        <w:tc>
          <w:tcPr>
            <w:tcW w:w="23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0"/>
        </w:trPr>
        <w:tc>
          <w:tcPr>
            <w:tcW w:w="6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21,444,741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11,743,203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9,701,538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generated negative cash flows from operations since our inception and have supplemented working capital through net proceeds from the issuance of Ordinary Shares as well as the issuance of debt. Cash provided by financing activities was $21.4 million for the year ended March 31, 2026, which consisted primarily of $6.5 million from the issuance of Ordinary Shares, $6.6 million from issuance of equity shares of subsidiary company and $8.3 million from loans from banks and other parties.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$11.7 million for the year ended March 31, 2025, which consisted primarily of $7.1 million from the issuance of Ordinary Shares, $1.0 million from the forward purchase agreement and $3.7 million from loans from banks and other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25, 2023, the Company (then named Vahanna Tech Edge Acquisition I Corp.) entered into an agreement with (i) Meteora Capital Partners, LP (“MCP”), (ii) Meteora Select Trading Opportunities Master, LP (“MSTO”), and (iii) Meteora Strategic Capital, LLC (“MSC” and, collectively with MCP and MSTO, “Seller”) (the “Forward Purchase Agreement” or “FPA”) for OTC Equity Prepaid Forward Transactions, as summarized in the Current Report on Form 8-K filed by the Company on September 26, 2023 (the “Prior 8-K”). Capitalized terms used but not defined herein have the meanings given to them in the Prior 8-K and/or the Forward Purchase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30, 2024, the Company and the Seller entered into an amendment to the Forward Purchase Agreement (the “Amendment”). The Amendment amends the section of the Forward Purchase Agreement regarding a Prepayment Shortfall by providing that the Company has the option, at its sole discretion, at any time up to 45 days prior to the Valuation Date, to request up to $5 million in Prepayment Shortfall via ten separate written requests to Seller in the amount of $500,000 each (each, an “Additional Shortfall Request”), provided that at the time of any Additional Shortfall Request (i) Seller has recovered 117% of the prior Additional Shortfall Request, if any, via Shortfall Sales and (ii) the VWAP Price over the ten trading days prior to such Additional Shortfall Request multiplied by the then current Number of Shares less Shortfall Sale Shares held by Seller is at least seven times greater than such Additional Shortfall Request. In addition, the Amendment amends the section of the Forward Purchase Agreement regarding Prepayment Shortfall Consideration by eliminating the 180-day period following a Trade Date before Seller may commence selling Recycled Shares and by permitting such sales without payment by Seller of any Early Termination Obligation until such time as the proceeds from such sales equal 117% (instead of 100% as originally provided in the Forward Purchase Agreement) of the Prepayment Shortfall. During the year ended March 31, 2026, the Company did not receive any additional payments from the Seller; total cash receipts remain at $4.8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March 31, 2026</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Borders>
              <w:top w:val="single" w:sz="8" w:color="auto"/>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 year</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 year</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Borders>
              <w:bottom w:val="single" w:sz="8" w:color="CCEEFF"/>
            </w:tcBorders>
          </w:tcPr>
          <w:p>
            <w:pPr>
              <w:spacing w:after="0"/>
              <w:rPr>
                <w:sz w:val="20"/>
                <w:szCs w:val="20"/>
                <w:color w:val="auto"/>
              </w:rPr>
            </w:pPr>
          </w:p>
        </w:tc>
      </w:tr>
      <w:tr>
        <w:trPr>
          <w:trHeight w:val="237"/>
        </w:trPr>
        <w:tc>
          <w:tcPr>
            <w:tcW w:w="362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Debt</w:t>
            </w:r>
            <w:r>
              <w:rPr>
                <w:rFonts w:ascii="Times New Roman" w:cs="Times New Roman" w:eastAsia="Times New Roman" w:hAnsi="Times New Roman"/>
                <w:sz w:val="27"/>
                <w:szCs w:val="27"/>
                <w:color w:val="auto"/>
                <w:vertAlign w:val="superscript"/>
              </w:rPr>
              <w:t>(1)</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33,285,088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17,672,980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15,561,442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50,666</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7"/>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9"/>
                <w:szCs w:val="29"/>
                <w:color w:val="auto"/>
                <w:vertAlign w:val="superscript"/>
              </w:rPr>
              <w:t>(2)</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1,278,833</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471,894</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480,821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286,606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39,513</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921,050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663,323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179,625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78,102</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&amp; accrued expenses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30,245,948</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30,245,948</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65,730,919</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49,054,145</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16,221,888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415,374</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8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 of debt represents carrying amount of borrowings (excluding interest) which the Company is obligated to repay in cash.</w:t>
      </w:r>
    </w:p>
    <w:p>
      <w:pPr>
        <w:spacing w:after="0" w:line="1" w:lineRule="exact"/>
        <w:rPr>
          <w:rFonts w:ascii="Times New Roman" w:cs="Times New Roman" w:eastAsia="Times New Roman" w:hAnsi="Times New Roman"/>
          <w:sz w:val="30"/>
          <w:szCs w:val="30"/>
          <w:color w:val="auto"/>
          <w:vertAlign w:val="superscript"/>
        </w:rPr>
      </w:pPr>
    </w:p>
    <w:p>
      <w:pPr>
        <w:ind w:left="660" w:right="20" w:hanging="652"/>
        <w:spacing w:after="0" w:line="187" w:lineRule="auto"/>
        <w:tabs>
          <w:tab w:leader="none" w:pos="66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leases office space under non-cancelable operating lease agreements, which expire on various dates through January 2033. The operating lease includes $253,761 of imputed interest due to the implementation of ASC-842.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Indebtedness: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320" w:type="dxa"/>
            <w:vAlign w:val="bottom"/>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Long Term</w:t>
            </w:r>
          </w:p>
        </w:tc>
        <w:tc>
          <w:tcPr>
            <w:tcW w:w="148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Short Term</w:t>
            </w:r>
          </w:p>
        </w:tc>
        <w:tc>
          <w:tcPr>
            <w:tcW w:w="340" w:type="dxa"/>
            <w:vAlign w:val="bottom"/>
          </w:tcPr>
          <w:p>
            <w:pPr>
              <w:spacing w:after="0"/>
              <w:rPr>
                <w:sz w:val="16"/>
                <w:szCs w:val="16"/>
                <w:color w:val="auto"/>
              </w:rPr>
            </w:pPr>
          </w:p>
        </w:tc>
        <w:tc>
          <w:tcPr>
            <w:tcW w:w="1520" w:type="dxa"/>
            <w:vAlign w:val="bottom"/>
            <w:tcBorders>
              <w:top w:val="single" w:sz="8" w:color="auto"/>
            </w:tcBorders>
            <w:gridSpan w:val="4"/>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Long Term</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Short Term</w:t>
            </w:r>
          </w:p>
        </w:tc>
        <w:tc>
          <w:tcPr>
            <w:tcW w:w="100" w:type="dxa"/>
            <w:vAlign w:val="bottom"/>
          </w:tcPr>
          <w:p>
            <w:pPr>
              <w:spacing w:after="0"/>
              <w:rPr>
                <w:sz w:val="16"/>
                <w:szCs w:val="16"/>
                <w:color w:val="auto"/>
              </w:rPr>
            </w:pP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5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4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Borrowings</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banks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166,924</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397,274</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debentures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428,729</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1,718,596</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1,140,753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1,158,446</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12,205,415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(9,829,713)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9,829,713</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(2,904,444)</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2,904,444</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135,347</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115,086</w:t>
            </w:r>
          </w:p>
        </w:tc>
      </w:tr>
      <w:tr>
        <w:trPr>
          <w:trHeight w:val="23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Others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11,500,000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7,310,646</w:t>
            </w:r>
          </w:p>
        </w:tc>
        <w:tc>
          <w:tcPr>
            <w:tcW w:w="1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19,486,713</w:t>
            </w: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15,612,108</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17,672,980</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139,775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22,770,089</w:t>
            </w:r>
          </w:p>
        </w:tc>
        <w:tc>
          <w:tcPr>
            <w:tcW w:w="100" w:type="dxa"/>
            <w:vAlign w:val="bottom"/>
          </w:tcPr>
          <w:p>
            <w:pPr>
              <w:spacing w:after="0"/>
              <w:rPr>
                <w:sz w:val="18"/>
                <w:szCs w:val="18"/>
                <w:color w:val="auto"/>
              </w:rPr>
            </w:pPr>
          </w:p>
        </w:tc>
      </w:tr>
      <w:tr>
        <w:trPr>
          <w:trHeight w:val="42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Operating Leases: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4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liabilities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325,255</w:t>
            </w:r>
          </w:p>
        </w:tc>
      </w:tr>
      <w:tr>
        <w:trPr>
          <w:trHeight w:val="23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699,817</w:t>
            </w:r>
          </w:p>
        </w:tc>
      </w:tr>
      <w:tr>
        <w:trPr>
          <w:trHeight w:val="20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1,025,072</w:t>
            </w:r>
          </w:p>
        </w:tc>
        <w:tc>
          <w:tcPr>
            <w:tcW w:w="100" w:type="dxa"/>
            <w:vAlign w:val="bottom"/>
          </w:tcPr>
          <w:p>
            <w:pPr>
              <w:spacing w:after="0"/>
              <w:rPr>
                <w:sz w:val="18"/>
                <w:szCs w:val="18"/>
                <w:color w:val="auto"/>
              </w:rPr>
            </w:pPr>
          </w:p>
        </w:tc>
      </w:tr>
      <w:tr>
        <w:trPr>
          <w:trHeight w:val="425"/>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Non-Convertible 2022 Debentures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our material subsidiaries issued Secured, Non-Convertible Debentures with NP1 Capital Trust with an aggregate principal amount of $3.7 million during the fiscal year ended March 31, 2023 with varying maturity dates between January 2024 and July 2024 and interest rates ranging from 19.25% to 20.00% per year. On September 30, 2024 the Company entered into an amendment agreement restructuring the principal repayments and extending the maturity date to March 31, 2025. The Company did not honor the repayment of the above debentures as of the amended date, and has obtained an extension from the lender up to November 30, 2025. In October 2025, the Company entered into negotiations with the lender to settle all principal and accrued interest, including late payment charges, partly in cash and partly in equity of the Company’s Indian subsidiary. During the quarter, the Company repaid an aggregate amount of $1,289,867 towards the outstanding secured debentures. As of the reporting date, the outstanding balance was $428,729.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Mizuho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30, 2023, Roadzen entered into a Note Purchase Agreement (the “Note Purchase Agreement”) with Mizuho Securities USA LLC (“Mizuho”), as administrative agent and collateral agent, and as a purchaser, pursuant to which Mizuho purchased an aggregate principal amount of $7,500,000 of senior secured notes (the “Mizuho Notes”). The Mizuho Notes bear interest at a rate of 15.0% per annum, which will automatically increase by 5% if we fail to prepay the Mizuho Notes upon the occurrence of certain mandatory prepayment events as set forth in the Note Purchase Agreement; however, we may prepay all or any portion of the Mizuho Notes prior to maturity at our option without penalty.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condition precedent to closing under the Note Purchase Agreement, Roadzen entered into a Security Agreement, pursuant to which each of the Loan Parties granted a first priority lien on substantially all of its assets to Mizuho, as administrative agent and collateral agent for the Purchasers.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 Purchase Agreement contains certain covenants that restrict the Note Parties’ ability to, among other things, transfer or sell assets, create liens, incur indebtedness, make payments and investments and transact with affiliates. Additionally, the Loan Parties are collectively required to maintain a cash reserve of at least $1 million in the aggregate to satisfy the minimum liquidity condition as set forth in the Note Purchase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 Purchase Agreement provides for customary events of default, if not cured or waived, would result in the acceleration of substantially all of the outstanding debt and interest owed under the Mizuho Notes (and any other debt containing a cross-default or cross-acceleration provision) and default interest of an additional two percent (2.0%) for so long as an event of default is continuing.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Mizuho Notes were originally scheduled to mature on June 30, 2024. On June 30, 2024, Mizuho granted to the Company a waiver of payment until July 31, 2024. On July 26, 2024, the Company entered into Amendment No. 1 to the senior secured notes, providing for an additional $4 million in principal amount to a total of $11.5 million, and an extension of the maturity date to December 31, 2024. Terms of the notes were otherwise the same as the original notes issued in June 2023, including an interest rate of 15% per annum, and did not require any additional warrants. On December 31, 2024, and again on January 31, 2025 while Amendment No. 2 to the senior secured notes were being drafted, Mizuho granted to the Company a waiver of payment until January 31, 2025 and then February 28, 2025.</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28, 2025, the Company entered into Amendment No. 2 to the Note Purchase Agreement (the “Second Amendment”), by and among the Company, Roadzen, Inc., a wholly-owned subsidiary of the Company (the “Issuer”), the subsidiary guarantors party thereto (the “Guarantors”) and Mizuho, as administrative agent and collateral agent (in such capacity, the “Agent”) and as a purchaser thereunder (in such capacity, the “Purchaser”), which amended the Note Purchase Agreement, dated as of June 30, 2023 (as previously amended), by and among the Issuer, the Guarantors, the Agent and the Purchaser. Among other things, the Amendment provides for (i) an extension of the maturity date of the $11.5 million in principal amount of senior secured notes issued under the Note Purchase Agreement (the “Notes”) from December 31, 2024 to December 31, 2025 and (ii) the joinder of the Company as an additional Guarantor under the Note Purchase Agreement. In addition, the Company agreed to file, by March 30, 2025, a registration statement registering the resale of the Company’s ordinary shares, par value $0.0001 per share (“Ordinary Shares”), issuable upon exercise of the Warrant (as defined below) and to use its reasonable best efforts to have such registration statement effective as soon as practicable after filing.</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on February 28, 2025, in connection with the Second Amendment, the Company issued to the Purchaser an amended and restated warrant (the “Warrant”) to purchase an additional 104,566 Ordinary Shares at an exercise price of $0.001 per share, for a total of up to 1,537,083 Ordinary Shares at an exercise price of $0.001 per share. The Warrant amends, restates and supersedes in its entirety the warrant to purchase up to 1,432,517 Ordinary Shares at an exercise price of $0.001 per shares issued to the Purchaser on May 14, 2024 pursuant to the terms of the Note Purchase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4, 2025, the Company announced it had reached an agreement in principle with Mizuho to further extend the maturity date from December 31, 2025 to June 30, 2027. On January 10, 2026, and again on February 9, 2026 while Amendment No. 4 to the senior secured notes was being drafted, Mizuho granted to the Company a waiver of payment until January 31, 2026 and then February 28, 2026. On June 26, 2026 the Company and Mizuho entered into Amendment No. 4 to the Note Purchase Agreement, extending the maturity date to July 7, 2027. See Item 9B below for more information.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Roadzen used the proceeds of the Mizuho Notes to support general corporate and working capital requirements and for other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2023 Junior Unsecured Convertible Debenture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15, 2023, the Company issued a Securities Purchase Agreement (the “December 2023 Convertible SPA”), among the Company and the investors party thereto from time to time. Pursuant to the terms of the December 2023 Convertible SPA, the Company may issue and sell an aggregate of up to $50 million in principal amount of convertible debentures (the “December 2023 Convertible Debentures”), on a private placement basis (collectively, the “December 2023 Private Placement”). The Company held an initial closing of the December 2023 Private Placement, at which it received $400,000 in proceeds on December 15, 2023. On January 19, 2024, the Company issued an additional convertible debenture under the December 2023 Convertible SPA in the principal amount of $500,000 to Supurna VedBrat (the “VedBrat Debenture”), a director of the Company, for a purchase price equal to the principal amount of the VedBrat Debenture. Also on January 19, 2024, Ms. VedBrat became a party to the December 2023 Convertible SPA and entered into a letter agreement with the Company (the “Letter Agreement”) with respect to her investment in the Company pursuant to the VedBrat Debenture. On February 7, 2024 the Company issued an additional convertible debenture under the December 2023 Convertible SPA in the principal amount of $200,000 and may sell additional Debentures at additional closings from time to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December 2023 Convertible Debentures bear interest, in arrears, at a rate of 13% per annum, payable semi-annually commencing on June 15, 2024, and matured on December 15, 2025. Interest is payable in kind, subject to the right of the Company to make any interest payments in cash. The Debentures are convertible into the Company’s Ordinary Shares, at the election of the holder at any time at an initial conversion price of $10.00 per Ordinary Share (the “Conversion Price”). The Conversion Price is subject to customary adjustments for stock dividends, stock splits, reclassifications and the like. In addition, if the average volume weighted average price of the Ordinary Shares for the 30 trading days immediately preceding December 15, 2024 (the “Average VWAP”) is less than the Conversion Price then in effect, the Conversion Price will be adjusted to an amount equal to such Average VWAP, subject to a floor of 85% of the Conversion Price then in effect. In addition, as the Average VWAP was less than the Conversion Price then in effect, the Conversion Price was adjusted to $8.50, an amount equal to 159,995 Ordinary Shares, as of December 15, 2024. The Company has the right to require the Debentures to be converted into Ordinary Shares if the closing price of the Ordinary Shares exceeds 130% of the then-applicable Conversion Price for any 20 trading days within a consecutive 30 trading day-period.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indebtedness evidenced by the December 2023 Convertible Debentures is subordinate to all other indebtedness of the Company. The Company has agreed in the December 2023 Convertible Debentures that it will not, while the December 2023 Convertible Debentures remain outstanding, incur additional indebtedness other than indebtedness (i) evidenced by other December 2023 Convertible Debentures, (ii) senior to the December 2023 Convertible Debentures in an aggregate principal amount of no more than $50 million and (iii) pari passu or junior to the December 2023 Convertible Debentures in an aggregate principal amount of no more than $50 million. The December 2023 Convertible Debentures contain customary events of default, including defaults in payment or performance that remain uncured after specified cure periods and certain events of bankruptcy.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Letter Agreement, the Company has (i) granted Ms. VedBrat certain most favored nations rights with respect to future issuances of securities while the VedBrat Debenture is outstanding and (ii) agreed to issue to Ms. VedBrat, warrants to purchase a number of Ordinary Shares equal in value as of December 15, 2023 to ten percent (10%) of the original principal balance of the VedBrat Debenture, at an exercise price of $8.50 per share. The Company entered into a substantially similar letter agreement with the first investor that purchased December 2023 Convertible Debentures at the initial closing under the December 2023 Convertible SPA.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reporting date, the Company has not honored the repayment and no conversion option under the debentures had also been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2024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28, 2024, the Company entered into a Securities Purchase Agreement (the “March 2024 SPA”) with Supurna VedBrat and Krishnan-Shah Family Partners, LP (together, the “2024 Purchasers”). Ms. VedBrat is a director of the Company. Ajay Shah, another director of the Company, and his wife, are trustees of the general partner of the Krishnan-Shah Family Partners, LP. Each of the 2024 Purchasers purchased $500,000 in principal amount of the 2024 SPA Notes on the date of the March 2024 SPA (the “March 2024 Notes”). On May 23, 2024, Ms. VedBrat purchased an additional $500,000 in principal amount of the 2024 SPA Notes (the “May 2024 Note”).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March 2024 SPA, the Company may issue and sell up to an additional $2.0 million in aggregate principal amount of the 2024 SPA Notes to one or more other purchasers. The March 2024 SPA contains covenants by the Company, including requirements to cause each of its subsidiaries (other than certain excluded subsidiaries) to guaranty the Company’s obligations under the 2024 SPA Notes and to take certain actions required to grant the 2024 Purchasers perfected security interests in the assets of the Company and its subsidiaries (subject to the existing liens of Mizuho). Pursuant to the terms of the March 2024 SPA, the Company and the 2024 Purchasers will enter into the Buyer Security Documents as defined in the March 2024 SPA.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2024 SPA Notes bear interest at a rate of 17.5% per annum and mature on the six-month anniversary of funding of the respective note (the “Initial Rate Adjustment Date”). Interest is payable in cash or in kind, at the option of the Company, on each three month anniversary of funding through the Initial Rate Adjustment Date (after which date all interest is payable in cash unless the parties agree to payment in kind). The Company’s failure to repay all principal and accrued interest by the Initial Rate Adjustment Date would not constitute an event of default under the applicable 2024 SPA Note, however, the interest rate payable under such 2024 SPA Note would increase on such date to 19.5% per annum going forward, and thereafter would increase by an additional 200 basis points on each monthly anniversary of the Initial Rate Adjustment Date until each of the respective 2024 SPA Notes is paid in full, subject to a maximum interest rate of 29.5% per annum. Following the Initial Rate Adjustment Date, all unpaid principal and accrued interest would be payable within five business days of the holder’s written demand. If any interest under the 2024 SPA Notes is paid in kind, such payment would be made through the issuance of that number of the Company’s Ordinary Shares, calculated by dividing the amount payable by the lowest of (i) $8.00, (ii) the volume-weighted average price (“VWAP”) of the Ordinary Shares over the 60 trading days ending three trading days prior to the interest payment date,</w:t>
      </w:r>
    </w:p>
    <w:p>
      <w:pPr>
        <w:spacing w:after="0" w:line="5"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price per share of the Ordinary Shares in any public offering of Ordinary Shares after the issuance of the respective 2024 SPA Notes,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Ordinary Share after market close on the first day of trading following any such public offering of Ordinary Shares.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indebtedness evidenced by the 2024 SPA Notes is intended to rank senior to all outstanding and future indebtedness of the Company, other than the Company’s outstanding indebtedness to Mizuho, and is to be secured pursuant to the Buyer Security Documents. The 2024 SPA Notes contain covenants of the Company that, among other things, prohibit the Company from incurring additional indebtedness or liens, subject to certain exceptions, for so long as the 2024 SPA Notes are outstanding. The 2024 SPA Notes contain customary events of default, including certain defaults in payment or performance and certain events of bankruptcy.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pursuant to the terms of the March 2024 SPA, the Company agreed to issue to each Purchaser warrants (the “March 2024 SPA Warrants”) to purchase, for each $10,000 in original principal amount of 2024 SPA Notes purchased, 1,000 Ordinary Shares. Each of the March 2024 SPA Warrant will be exercisable at any time during the period commencing on March 28, 2025 (the “Vesting Date”) through March 28, 2031 (or until the dissolution, liquidation or winding up of the Company, if earlier). The exercise price of the March 2024 SPA Warrants is equal to 80% of the lower of (i) the VWAP of the Company’s Ordinary Shares (RZDN), as reported on the relevant market or exchange, over the 60 trading days subsequent to the first loan funding, (ii) the opening price of any public offering of straight equity securities of the Company occurring within six months after the issue date of the March 2024 SPA Warrants and (iii) the VWAP of the Ordinary Shares over the 60 trading days immediately prior to the Vesting Date. The March 2024 SPA Warrants have customary anti-dilution protections in the event the Company declares dividends or distributions on the Ordinary Shares or subdivides, combines or reclassifies its outstanding Ordinary Shares. On April 22, 2024, the Company issued March 2024 SPA Warrants to purchase 50,000 Ordinary Shares to Krishnan-Shah Family Partners, LP. On June 20, 2024, the Company issued March 2024 SPA Warrants to purchase 50,000 Ordinary Shares to Ms. VedBrat and on October 27, 2024 issued additional March 2024 SPA Warrants to purchase an additional 50,000 Ordinary Shares to Ms. VedBrat in connection with her purchase of the May 2024 Note.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the Company paid the full principal and all accrued interest for the March 2024 Note sold to Krishnan-Shah Family Partners, LP, and one March 2024 Note sold to Ms. VedBrat was partially paid, with the balance paid off subsequently to the reporting date. As of the reporting date, the outstanding balance on the remaining note was $668,258.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Convertible November 2025 Debentures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20, 2025, the Company entered into a securities purchase agreement (the “November SPA”) with an institutional investor (the “Investor”) under which the Company agreed to issue and sell, in a registered public offering, junior convertible notes for up to an aggregate principal amount of $5,555,555 (each, a “November Note” and collectively, the “November Notes”) that may be convertible into the Company’s Ordinary Shares. On November 20, 2025, the Company completed the sale and issued the November Notes to the Investor.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November Notes were sold for a gross purchase price of $5,000,000 before fees and other expenses. The November Notes will mature eighteen months from the date of issuance and will bear interest at a rate of 14% per year (increasing to 18% upon the occurrence and during the continuation of an event of default). $925,000 of the principal amount of the November Notes (less any portion thereof previously converted by the holders), together with accrued but unpaid interest, is payable quarterly, commencing three months after the date of issuance. The November Notes will have an initial conversion price of $2.25 (the “November Conversion Price”) and will be convertible at any time, in whole or in part and subject to certain beneficial ownership limitations, at the election of the holders. The November Conversion Price is subject to customary adjustments upon any stock split, stock dividend, stock combination, recapitalization or similar event. The Company may redeem all or any portion of outstanding November Notes at any time upon at least five trading days’ written notice by paying an amount equal to the principal amount of the November Notes being redeemed, together with interest accrued on such principal amount through the date of redemption, and additional interest that would accrue on such principal amount through the maturity date (the “November Make Whole Amount”).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November Notes, the Company will agree not to effect the conversion of any portion of the November Notes, and the holders of the November Notes (the “November Holders”) will not have the right to convert any portion of the November Notes, to the extent that after giving effect to such conversion, each November Holder together with the other Attribution Parties (as defined in the November Notes) collectively would beneficially own in excess of 4.99% (the “Maximum Percentage”) of the Ordinary Shares outstanding immediately after giving effect to such conversion. Upon delivery of a written notice to the Company, the November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shall apply only to the November Holder and the other Attribution Parties and not to any other holder of November Notes that is not an Attribution Party of the November 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occurrence of an Event of Default (as defined in the November Notes), the November Holders will have the right to (i) either require the Company to redeem all or any portion of the November Notes, (ii) or, in the case of a failure to make a required quarterly payment under the November Notes, convert all or any portion of the November Notes at a price equal to the Event of Default Conversion Price (as defined in the November Notes). The Company will also agree not to enter into or be party to a Fundamental Transaction (as defined in the November Notes) unless (i) the Successor Entity (as defined in the November Notes) (if other than the Company) assumes in writing all of the obligations of the Company under the November Notes and the other Transaction Documents in accordance with the provisions of the November Notes prior to such Fundamental Transaction, or (ii) at or prior to the consummation of the Fundamental Transaction, the Company redeems the November Notes in full by paying to the holder an amount in cash representing all outstanding Principal, accrued and unpaid Interest (including Default Interest, as applicable) and November Make-Whole Amount.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20, 2026, the Company and the Investor entered into an Amendment to Securities Purchase Agreement and Junior Convertible Note (the “Amendment”), which amended certain of the terms of the junior convertible notes issued to the Investor in November 2025 (the “November Notes”) pursuant to the terms of that certain Securities Purchase Agreement dated as of November 20, 2025, as described in the Current Report on Form 8-K filed by the Company on November 20, 2025. Among other things, the Amendment adds to the November Notes certain cross-default provisions with respect to the Notes and certain covenants contained in the Notes.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the November Holders converted $100,000 of principal, accrued and unpaid interest and Make-Whole Amount, in exchange for 98,096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Convertible January 2026 Debentures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19, 2026, the Company entered into a securities purchase agreement (the “January SPA”) with an institutional investor (the “Investor”) under which the Company agreed to issue and sell, in a registered public offering, junior convertible notes (each, a “January Note” and collectively, the “January Notes”) for up to an aggregate principal amount of $5,555,555 that may be convertible into the Company’s Ordinary Shares. The closing of the issuance and sale of the Notes occurred on January 20,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January Notes were sold for a gross purchase price of $5,000,000 before fees and other expenses. The January Notes will mature on June 20, 2027 and will bear interest at a rate of 14% per annum (increasing to 18% per annum upon the occurrence and during the continuation of an event of default). $925,000 of the principal amount of the January Notes (less any portion thereof previously converted by the holders), together with accrued but unpaid interest, is payable quarterly, commencing three months after the date of issuance. The January Notes will have an initial conversion price of $3.50 (the “January Conversion Price”) and will be convertible at any time, in whole or in part and subject to certain beneficial ownership limitations, at the election of the holders. The January Conversion Price is subject to customary adjustments upon any stock split, stock dividend, stock combination, recapitalization or similar event, as well as upon certain equity financings at a price below the January Conversion Price then in effect. The Company may redeem all or any portion of outstanding January Notes at any time upon at least 20 trading days’ written notice by paying an amount equal to the principal amount of the January Notes being redeemed, together with interest accrued on such principal amount through the date of redemption, and additional interest that would accrue on such principal amount through the maturity date (the “January Make Whole Amount”), subject to certain conditions, including that the volume weighted average price of the Ordinary Shares is less than the January Conversion Price then in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January Notes, the Company has agreed not to effect the conversion of any portion of the January Notes, and the holders of the January Notes (the “January Holders”) will not have the right to convert any portion of the January Notes, to the extent that after giving effect to such conversion, each January Holder together with the other Attribution Parties (as defined in the January Notes) collectively would beneficially own in excess of 4.99% (the “Maximum Percentage”) of the Ordinary Shares outstanding immediately after giving effect to such conversion. Upon delivery of a written notice to the Company, the January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shall apply only to the January Holder and the other Attribution Parties and not to any other holder of January Notes that is not an Attribution Party of the January 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occurrence of an Event of Default (as defined in the January Notes), the January Holders will have the right to (i) either require the Company to redeem all or any portion of the January Notes, (ii) or, in the case of a failure to make a required quarterly payment under the January Notes, convert all or any portion of the January Notes at a price equal to the Event of Default Conversion Price (as defined in the January Notes). The Company will also agree not to enter into or be party to a Fundamental Transaction (as defined in the January Notes) unless (i) the Successor Entity (as defined in the January Notes) (if other than the Company) assumes in writing all of the obligations of the Company under the Notes and the other Transaction Documents in accordance with the provisions of the January Notes prior to such Fundamental Transaction, or (ii) at or prior to the consummation of the Fundamental Transaction, the Company redeems the January Notes in full by paying to the holder an amount in cash representing all outstanding Principal, accrued and unpaid Interest (including Default Interest, as applicable) and January Make-Whole Amount.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22, 2026, the Company entered into a Third Amendment to Securities Purchase Agreement and Junior Convertible Notes (the “Third Amendment”), which amended certain of the terms of (i) the November SPA, (ii) the November Note, and (iii) the January Note. Among other things, the Third Amendment amends the November Note to (i) change the dates on which the “Installment Amounts” otherwise due under the November Note on April 21, 2026 and May 21, 2026 are due to July 20, 2026, (ii) add a provision that would adjust the “Conversion Price” of the November Note in the event of certain equity financings below the Conversion Price then in effect, equivalent to the provision in the January Note and (iii) remove the provision that required the Company to use up to 25% of the net proceeds of “Subsequent Placements” to redeem all or a portion of the November Note. The Third Amendment also (i) changes the date on which the “Installment Amount” otherwise due under the January Note on May 20, 2026 is due to July 20, 2026, and (ii) extends the termination date of the Investor’s right to participate in certain financings by the Company to December 20, 2027. Also pursuant to the Third Amendment, the Company is required to use commercially reasonable efforts to obtain the approval, for purposes of Nasdaq Listing Rules, of its shareholders to issue a number of the Company’s Ordinary Shares upon conversion of the November Note and the January Note in excess of 20% of the total number of Ordinary Shares outstanding as of November 20,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27, 2025, the Company entered into a placement agency agreement (the “Agency Agreement”) with Maxim Group LLC (the “Placement Agent”) pursuant to which the Company agreed to issue and sell directly to an investor, in a best efforts offering (the “July Offering”), of 1,730,769 of the Company’s Ordinary Shares, at an offering price of $1.30 per share. The July Offering closed on July 29, 2025. The Company received gross proceeds of $2,249,999.70 in connection with the July Offering, before deducting Placement Agent fees and other Offering expenses payable by the Company. As part of its compensation for acting as Placement Agent for the July Offering, the Company paid the Placement Agent a cash fee of 6.0% of the aggregate gross proceeds and $25,000 as reimbursement of the Placement Agent’s accountable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Exchange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27, 2024, the Company entered into a subscription agreement (the “Exchange Agreement”) with related party Avacara PTE Ltd. (“Avacara”). Pursuant to the terms of the Subscription Agreement, on that date, approximately $0.13 million in aggregate of liabilities of the Company to such entity was canceled in exchange for the issuance of an aggregate of 104,000 Ordinary Shares (the “Exchange Shares”). The Company’s Chief Executive Officer, Rohan Malhotra, is the principal owner and Managing Partner of Avacara, a significant shareholder of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Subscription Agreement includes customary “piggyback” registration rights, as well as demand registration rights which require the Company to register the Exchange Shares if requested by Avacara.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March 31,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risks in connection with our business, which primarily relate to fluctuations in interest rates and foreign exchange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loans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had $6.8 million of cash and cash equivalents, including $0.2 million of non-current restricted cash, and $33.3 million of repayable debt in the form of loans from banks and other parties. Our cash and cash equivalents and loans are held for working capital purposes. As of March 31, 2026, we do not believe a hypothetical 10% increase or decrease in interest rates during any of the periods presented would have had a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have no variable rate convertible notes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Exposure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All our revenue is generated in local currencies. Our expenses are generally denominated in the currencies of the jurisdictions in which we conduct our operations, which are primarily in India, China, the U.K. and the U.S.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Translation Exposure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exposed to foreign exchange rate fluctuations as we translate the financial statements of our foreign subsidiaries into U.S. dollars. If there is a change in foreign currency exchange rates, the translating adjustments resulting from the conversion of our foreign subsidiaries’ financial statements into U.S. dollars would result in a gain or loss recorded as a component of accumulated other comprehensive loss which is part of stockholders’ equity.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Price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invested in common stock of a private company, Moonshot — Internet SAS which was accounted for under the measurement alternative. This investment is considered as long-term, strategic investments. Valuations of our equity investments in private companies are inherently more complex due to the lack of readily available market data. Volatility in the global economic climate and financial markets could result in a significant impairment charge relating to our non-marketable equity securities. Further, observable transactions at lower valuations could result in significant losses on our non-marketable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certain accounting policies involve a high degree of judgment and complexity. The application of accounting policies and preparation of our consolidated financial statements in conformity with GAAP require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in our consolidated financial statements. These estimates involve estimating allowance for accounts receivable, fair values of financial instruments, measurement of defined benefit obligations, impairment of non-financial assets, useful lives of property plant and equipment and intangible assets, income taxes, certain deferred tax assets and tax liabilities, and other contingent liabilities. See Note 2 to our consolidated financial statements appearing elsewhere in this Annual Report for a description of our significant accounting policies involving these estimates and judgments.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timeline for new or revised accounting standards as other public companies that are not emerging growth companies which may make comparison of the Company’s financial statements to those of other public companies more difficult.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is currently evaluating the impact of any recently issued, but not yet adopted, accounting standards, on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 index of those financial statements is found in Item 15 of Part IV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as of the end of the period covered by this Annual Report, the effectiveness of Roadzen’ disclosure controls and procedures (as defined in Rules 13a-15e and 15d-15e under the Exchange Act). Based on such evaluation, our Chief Executive Officer and Chief Financial Officer concluded that Roadzen’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(as defined in Rules 13a-15(f) and 15d-15(f) under the Exchange Act). Roadzen’ internal control over financial reporting was designed to provide reasonable assurance regarding the reliability of financial reporting and the preparation of our financial statements for external reporting purposes in accordance with GAAP. Roadzen’ internal control over financial reporting includes those policies and procedures that:</w:t>
      </w:r>
    </w:p>
    <w:p>
      <w:pPr>
        <w:spacing w:after="0" w:line="183" w:lineRule="exact"/>
        <w:rPr>
          <w:sz w:val="20"/>
          <w:szCs w:val="20"/>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by the Committee of Sponsoring Organizations of the Treadway Commission (COSO) in “Internal Control — Integrated Framework (2013).” Based on this assessment, our management concluded that our internal control over financial reporting was effective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year ended March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26, 2026, the Company entered into Amendment No. 4 to the Note Purchase Agreement (the “Fourth Amendment”), by and among the Company, Roadzen (DE), the Guarantor and Mizuho, which amended the Note Purchase Agreement. Among other things, the Amendment provides (i) for an extension of the maturity date of the $11.5 million in principal amount of the Mizuho Notes from December 31, 2025 to July 7, 2027, (ii) that the Company will, by September 30, 2026, use commercially reasonable efforts to negotiate in good faith to enter into one or more financings that would result in the reduction, refinancing, or repayment of the outstanding obligations of the Company to Mizuho in full. Also on June 26, 2026, the Company and Mizuho entered into a fee letter pursuant to which, among other things, the Company and Mizuho agreed that the $3,000,000 Closing Payment payable by the Company to Mizuho pursuant to the terms of the Termination of Engagement Letters Agreement, dated as of September 20, 2023, between the Company and Mizuho, will be due and payable on or before July 7, 2027, and that interest will accrue on the Closing Payment at a rate of 3% per annum from April 1, 2026 until paid in full.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Fourth Amendment and the fee letter do not purport to be complete and are qualified in their entireties by reference to the full text of the Fourth Amendment and the fee letter, copies of which are filed as Exhibits 10.36 and 10.37, respectively, to this Annual Report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director or officer of the Company adopted or terminated any contract, instruction or written plan for the purchase or sale of securities of the registrant intended to satisfy the affirmative defense conditions of Rule 10b5-1(c); or (ii) any “non-Rule 10b5-1 trading arrangement” as defined in paragraph (c) of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persons currently serve as Roadzen’s executive officers and directors. For biographical information concerning the executive officers and directors, see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Rohan Malhotra, Chief Executive Officer</w:t>
      </w:r>
      <w:r>
        <w:rPr>
          <w:rFonts w:ascii="Times New Roman" w:cs="Times New Roman" w:eastAsia="Times New Roman" w:hAnsi="Times New Roman"/>
          <w:sz w:val="18"/>
          <w:szCs w:val="18"/>
          <w:color w:val="auto"/>
        </w:rPr>
        <w:t>, serves as the Chief Executive Officer and a director of Roadzen. Mr. Malhotra founded Roadzen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 in 2015 and has served as its Chief Executive Officer since its inception. Previously, Mr. Malhotra served as the Chief Executive Officer of Avacara Global Solutions, an enterprise software and data analytics company that provided product development services to Fortune 500 companies, from June 2011 to July 2014. Mr. Malhotra holds a bachelor’s degree in Engineering from NSIT, Delhi University, India and a master’s degree in Electrical and Computer Engineering from Carnegie Mellon University where he studied robotics, AI and control systems. We believe that Mr. Malhotra, as the founder of Roadzen, has years of experience operating Roadzen and is committed to its continued growth, making him a qualified to serve as a director.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5" w:gutter="0" w:footer="0" w:header="0"/>
        </w:sectPr>
      </w:pPr>
    </w:p>
    <w:bookmarkStart w:id="93" w:name="page94"/>
    <w:bookmarkEnd w:id="9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Jean-Noël Gallardo, Chief Financial Officer</w:t>
      </w:r>
      <w:r>
        <w:rPr>
          <w:rFonts w:ascii="Times New Roman" w:cs="Times New Roman" w:eastAsia="Times New Roman" w:hAnsi="Times New Roman"/>
          <w:sz w:val="18"/>
          <w:szCs w:val="18"/>
          <w:color w:val="auto"/>
        </w:rPr>
        <w:t>, has served as the Chief Financial Officer of Roadzen since January 2024. Prior to his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Roadzen’s CFO, Mr. Gallardo, served as Roadzen’s Interim Global Chief Financial Officer since October 2023, and prior to that was Vice President of Finance at Aclaimant, Inc., an Insurtech platform for safety and risk management, from November 2020 to February 2023. His prior roles include CFO of LJR Holdings, Inc., a privately-held California-based holding company with third-party claims administrator and managed care subsidiaries, Vice President of Finance for Gallagher Bassett Services, Inc., the risk management unit of international broker Arthur J. Gallagher &amp; Co., and leading the FP&amp;A function for CNA’s Small Commercial business. Mr. Gallardo began his career in investment banking, focusing on M&amp;A for middle-market companies throughout North America. He earned his MBA in Finance from the Kellstadt Graduate School of Business, DePaul University and a Bachelor of Science, Commerce with major in Finance, at Driehaus College of Business, DePaul University.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Ankur Kamboj, Chief Operating Officer</w:t>
      </w:r>
      <w:r>
        <w:rPr>
          <w:rFonts w:ascii="Times New Roman" w:cs="Times New Roman" w:eastAsia="Times New Roman" w:hAnsi="Times New Roman"/>
          <w:sz w:val="18"/>
          <w:szCs w:val="18"/>
          <w:color w:val="auto"/>
        </w:rPr>
        <w:t>, has served as Chief Operating Officer of Roadzen since April 2017. Prior to Roadzen, Ankur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Head of Network at AXA Assistance – India, where he was responsible for building the assistance network. Additionally, Ankur held P&amp;L responsibility with multi-brand automotive players like Mahindra and Carnation Auto to build and scale the business in assigned regions. While at Citi, Ankur led digital marketing for customer acquisition and oversaw new customer onboarding. Ankur also held last mile communication and sales roles at Samsung and Nestle. Ankur holds a bachelor’s degree in business administration from Punjab University and a post graduate diploma in management from Institute of Chartered Financial Analysts of India University (ICFAI).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 and Reduction in Board Size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11, 2026, Ajay Shah resigned from the Board of Directors of the Company. Mr. Shah’s resignation was not the result of any disagreement with the Company on any matter relating to the Company’s operations, policies or practices. In connection with Mr. Shah’s resignation, and consistent with the Board’s prior determination to reduce the size of the Board as part of its ongoing governance review, the Board reduced the authorized number of directors from seven to six, effective April 1, 2026. The Company previously reported Mr. Shah’s resignation on a Current Report on Form 8-K filed with the Securities and Exchange Commission on March 11,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information regarding the Company’s directors as of the date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Saurav Adhikari </w:t>
      </w:r>
      <w:r>
        <w:rPr>
          <w:rFonts w:ascii="Times New Roman" w:cs="Times New Roman" w:eastAsia="Times New Roman" w:hAnsi="Times New Roman"/>
          <w:sz w:val="18"/>
          <w:szCs w:val="18"/>
          <w:color w:val="auto"/>
        </w:rPr>
        <w:t>serves as an independent director of Roadzen. Mr. Adhikari is a senior global business leader with four decades of deep domain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global businesses, across technology, fast-moving consumer goods (“FMCG”), and consumer durables sectors in global markets. During the last two decades, he has served in the technology sector with HCL, a global technology solutions provider, and as a technology investor. He has served as the founding President of HCL’s startup corporate networking firm, has led a team as President of HCL’s BPO North America business that established a multi-hundred million dollar IT enabled services business, and has worked on several multi-hundred million dollar inorganic investments in technology and software, including the acquisition of Actian (transaction value USD 330 million), carve-outs of multiple IBM product suites, a joint venture between HCL and CSC, and an acquisition of 51% ownership in BPO and Software joint venture DSL Software in India from 2000 to 2019. This helped HCL pivot to a leading intellectual property led solutions company. He has built deep relationships in global private equity and venture capital firms, while creating large, successful, value-based partnerships between HCL and private equity owned technology and technology-enabled businesses, which are considered groundbreaking in the industry. At HCL, he held various senior executive positions from 2000 to 2019, the last being President, Corporate Strategy, working directly with the Founder &amp; Chairman with oversight across the group’s business, as well as the not-for-profit Shiv Nadar Foundation. Mr. Adhikari has been a board member of three publicly listed companies on BSE &amp; NSE in India - Goodricke Group Ltd, an owner-operator of tea estates across India since 2019, Accelya Solutions India Ltd., a technology solutions provider to the air transport industry since 2022, and Zee Entertainment Enterprises Ltd., India’s largest regional TV/OTT channel, since 2025, and IFB Industries, an engineering and consumer durables firm since 2026. He is also on the board of Bridgeweave Ltd, UK, a privately held AI-based financial technology (“fintech”) company since 2021. He works as a technology advisor and investor with interests across AI-based fintech and healthcare firms, as well as analytics, IoT and logistics firms. He also serves as a Senior Advisor to the Shiv Nadar Foundation’s not-for-profit institutions and is a board member of Shiv Nadar University, India. His prior experience also includes several global senior leadership and executive roles across Unilever, PepsiCo and Groupe SEB. Mr. Adhikari received his MBA from Bombay University, his Bachelor’s in Arts (Honors) in Economics from Delhi University, India, and his AMP from INSEAD Fontainebleau, France. Mr. Adhikari served as Chairman of Vahanna from June 2021 until the closing of the Business Combination, and has been serving as a director of Roadzen since September 2023. Mr. Adhikari is qualified to serve as a director because of his decades of experience operating and growing companies in the technology sector and valuable network formed during his professional career.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Steven Carlson </w:t>
      </w:r>
      <w:r>
        <w:rPr>
          <w:rFonts w:ascii="Times New Roman" w:cs="Times New Roman" w:eastAsia="Times New Roman" w:hAnsi="Times New Roman"/>
          <w:sz w:val="18"/>
          <w:szCs w:val="18"/>
          <w:color w:val="auto"/>
        </w:rPr>
        <w:t>serves as Chairman and a director of Roadzen. Mr. Carlson served as an independent director of Quantum Fintech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a special purpose acquisition company, from February 2021 until the completion of its business combination with AtlasClear Holdings, Inc. (NYSE Amex: ATCH) (“AtlasClear”) in February 2024. He then served as a director with AtlasClear from February 2024 to December 2024, and has served as a director since re-joining the board in September 2025. Since 2016, Mr. Carlson has served as Co-Chairman of Magellan Global, a financial services holding company that owns Marco Polo Exchange, which in turn owns Marco Polo Securities, Inc., a distribution platform enabling foreign financial services firms to market their products in the United States and other select jurisdictions worldwide. He serves as Co-Chairman of Marco Polo Exchange and CEO of Marco Polo Securities, Inc. Mr. Carlson is also the Managing Partner of Pi Capital International LLC, a global advisory firm headquartered in New York City that provides capital raising, M&amp;A advisory, and general corporate advisory services. Securities are offered through its affiliate, Marco Polo Securities, Inc. Before founding Pi Capital, Mr. Carlson was President and Head of Investment Banking at INTL FCStone Financial Inc. (“INTL”) from 2010 to 2016. Prior to that, he was the founder, Chairman, and Chief Executive Officer of the Provident Group, a boutique investment banking firm providing capital raising, M&amp;A, and other corporate finance advisory services to clients globally. Provident Group was acquired by INTL in 2010. Prior to forming Provident in December 1998, Mr. Carlson was a Managing Director at Lehman Brothers, where he held various senior positions, including Global Head of Emerging Markets, Head of the Institutional Client Group, and roles on the mortgage-backed securities trading desk and research team. Mr. Carlson began his career at Fannie Mae. Mr. Carlson earned a Bachelor of Arts in Economics from the University of Maryland and a Master’s degree in Public Policy from the Kennedy School of Government at Harvard University. We believe Mr. Carlson is well qualified to serve as a director due to his more than 30 years of experience in the financial services industry across various leadership positions, combined with his extensive investment banking and entrepreneurial background, including founding and leading multiple successful businesses.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Supurna VedBrat </w:t>
      </w:r>
      <w:r>
        <w:rPr>
          <w:rFonts w:ascii="Times New Roman" w:cs="Times New Roman" w:eastAsia="Times New Roman" w:hAnsi="Times New Roman"/>
          <w:sz w:val="18"/>
          <w:szCs w:val="18"/>
          <w:color w:val="auto"/>
        </w:rPr>
        <w:t>serves as a director of Roadzen. Ms. VedBrat currently provides consulting and advisory services through Amber Consulting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Advisory services. Ms. VedBrat served as Head of Global Trading at BlackRock from July 2011 to February 2023 and oversaw the company’s trading function across asset classes and regions. At BlackRock, she was responsible for driving innovation and setting the trading platform’s strategic vision focused on growth and sustainable scalable trading solutions. Ms. VedBrat also served as a member of the Global Operating Committee, the Human Capital Committee and Investment Subcommittee at BlackRock. Additionally, Ms. VedBrat served as the President of Strategic Solutions Consulting from January 2009 to July 2011 and as a fixed income, commodities and distressed debt analyst at Bank of America from March 2004 to January 2009. Ms. VedBrat’s professional career spans over 28 years in both the U.S. and Europe, and within the financial and the technology industries. She held various positions at Bank of America, ING Barings in London and Lehman Brothers in New York. She started her career as a software engineer with IBM at its research center. Ms. VedBrat is passionate about giving back to the financial community through mentorship, sponsorship and serving on the Board/Advisory board of Women in Financial Markets (WIFM). Supurna is a recipient of the Financial Markets Luminary award, awarded by WIFM. Ms. VedBrat was recognized and ranked #8 on the Institutional Investor’s 2018 Trading Tech 40 list, and also received the Markets Media Women in Finance Award for Excellence in Leadership. Ms. VedBrat has a Computer Science degree from Rutgers University and a Mathematics (Hons) degree from Delhi University, India. We believe Ms. VedBrat is well qualified to serve as a director because of her business acumen across markets, expertise in the financial and technology industries, and leadership skills.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Zoë Ashcroft </w:t>
      </w:r>
      <w:r>
        <w:rPr>
          <w:rFonts w:ascii="Times New Roman" w:cs="Times New Roman" w:eastAsia="Times New Roman" w:hAnsi="Times New Roman"/>
          <w:sz w:val="18"/>
          <w:szCs w:val="18"/>
          <w:color w:val="auto"/>
        </w:rPr>
        <w:t>serves as a director of Roadzen. She has over thirty years’ experience as a corporate and finance lawyer, advising clients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cross-border transactions including mergers and acquisitions, strategic alliances and joint ventures, investments, private placements and financings. Ms. Ashcroft co-founded the London office of global law firm Winston &amp; Strawn LLP (“Winston”) in 2003 and served as the head of the U.K. corporate team until 2023. She was also an elected member of Winston’s global executive committee from 2015 to 2018 and led the firm’s Women’s Leadership Initiative in London. Before joining Winston, she was an associate attorney and a partner at Morgan, Lewis &amp; Bockius LLP from 1994 to 2003, where she was the head of the U.K. corporate team for many years. Ms. Ashcroft currently serves as a director and chair of Carbon Pesa Limited, a UK fintech company in the renewable energy industry. During her legal career she has been noted in several editions of annual U.K. legal directories such as the Legal 500 U.K. and Chambers U.K. for her expertise in international corporate and finance transactions. Ms. Ashcroft also serves as a trustee on nonprofit organizations, such as Sponsors for Educational Opportunity Limited since 2003, which provides mentoring and internship opportunities across a number of sectors (including investment banking and corporate law) to help prepare talented students for career success, and the British American Drama Academy, which helps actors and students around the world train with leading actors in the U.K. Additionally, since 2010, she has served as a trustee of The Climate Change Organization, a not for profit organization focusing on high-impact climate and energy initiatives with the world’s leading businesses and state and local governments, and was appointed as deputy chair in 2022. Ms. Ashcroft has a Bachelor of Laws from the University of Bristol, U.K. and is qualified as a solicitor of the Supreme Court of England &amp; Wales. We believe Ms. Ashcroft is well qualified to serve as a director because of her deep experience in navigating sophisticated cross-border corporate transactions and her leadership skills.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Diane B. Glossman </w:t>
      </w:r>
      <w:r>
        <w:rPr>
          <w:rFonts w:ascii="Times New Roman" w:cs="Times New Roman" w:eastAsia="Times New Roman" w:hAnsi="Times New Roman"/>
          <w:sz w:val="18"/>
          <w:szCs w:val="18"/>
          <w:color w:val="auto"/>
        </w:rPr>
        <w:t>serves as a director of Roadzen. She spent 25 years as a research analyst, retiring as a Managing Director and head of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brokerage and fintech research at UBS. Prior to UBS, Ms. Glossman was co-head of global bank research and head of Internet financial services research at Lehman Brothers. Prior to that, she was co-head of U.S. bank stock research at Salomon Brothers where she worked for nine years. Over her sell-side research career, she specialized in money center banks, trust banks and broker-dealers, covering all aspects of banking, fintech and financial services. She was a multiple-time member of Institutional Investor’s All-America Research Team. During her decade on the buy-side, she was responsible for coverage of all financials along with a variety of other industry sectors. She has served as a member of the board of directors of Barclays Bank Delaware since June 2016 and has chaired its Audit Committee since December 2018. She has also served on the board of Barclays US LLC since its inception, as chair of the Audit Committee and as a member of the Governance Committee. From August 2014 through May 2025, she served as a member of the board of directors of Live Oak Bancshares, a North Carolina-based bank with USD13 billion of assets. She served as the Chair of Live Oak’s Risk Committee and was a member of both the Audit and Nominations and Governance Committees. Ms. Glossman’s previous board experience includes serving on the board of directors or board of trustees of WMI Holding, FinServ Acquisition Corp., Ambac Assurance and QBE NA. In addition to her directorships, Ms. Glossman has also worked as an independent consultant with a number of banks in the U.S. and U.K. on projects relating to strategy, business execution, and investor communications. Ms. Glossman received a Bachelor of Science in Economics from the Wharton School at the University of Pennsylvania. We believe Ms. Glossman is well qualified to serve as a director because of her financial expertise, leadership experience and wide network in the financial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Roadzen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the Roadzen board to satisfy its oversight responsibilities effectively in light of its business and structure, the Roadzen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Roadzen board consists of six members. Each director will be nominated for a one year term to be elected at the subsequent annual meeting of the shareholders. At each succeeding annual meeting of the shareholders of Roadzen, each of the successors elected to replace the directors whose term expires at that annual meeting shall be elected for a one-year term or until the election and qualification of their respective successors in office, subject to their earlier death, resignation or removal.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2026, our board met 4 times, including videoconference meetings, the audit committee met 7 times, the compensation committee met 2 times and the nominating and corporate governance committee met 3 times. All directors attended 75% or more of the aggregate number of meetings of the board, all of the audit committee members attended 75% or more of the audit committee meetings, all of the compensation committee members attended 75% or more of the compensation committee meeting, and all of the nominating and corporate governance committee members attended 75% or more of the nominating and corporate governance committee meetings.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the company). Roadzen’s board of directors has six directors. Roadzen has determined that each of Mr. Adhikari, Ms. VedBrat, Ms. Ashcroft and Ms. Glossman is an “independent director” as defined in the Nasdaq listing standards and applicable SEC rules. Our independent directors will have regularly scheduled meetings at which only independent directors are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policies of Roadzen with respect to the compensation of its executive officers are administered by Roadzen’s board in consultation with its compensation committee. The compensation decisions regarding Roadzen’s executives are based on Roadzen’s need to retain those individuals who continue to perform at or above Roadzen’s expectations and to attract individuals with the skills necessary for Roadzen to achieve its business plan. Roadzen intends to be competitive with other similarly situated companies in its industry.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Roadzen believes that performance-based and equity-based compensation can be an important component of the total executive compensation package for maximizing shareholder value while, at the same time, attracting, motivating and retaining high-quality executives.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Roadzen’s executive officers receive a combination of cash and equity compensation. Roadzen’s compensation committee is charged with performing an annual review of Roadzen’s executive officers’ cash and equity compensation to determine whether they provide adequate incentives and motivation to executive officers and whether they adequately compensate the executive officers relative to comparable officers in other companies. In addition to the guidance provided by its nomination and compensation committees, Roadzen may utilize the services of third parties from time to time in connection with the hiring and compensation awarded to executive employees. This could include subscriptions to executive compensation surveys and other databases or use of a third-party compensation consultant.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Roadzen’s non-employee directors are currently entitled to receive $75,000 in annual compensation for services rendered to Roadzen payable as a combination of cash and RSUs. The Chairman and the Audit Chair are entitled to receive an extra $35,000 and $15,000, respectively, in annual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Roadzen 2023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Roadzen adopted the Roadzen 2023 Omnibus Incentive Plan (the “Incentive Plan”), to be administered by the Roadzen board or by a committee or administrator appointed by the board. The purpose of the Incentive Plan is to give employees of Roadzen (including executive and non-executive directors and officers as well as consultants) an opportunity to become shareholders of Roadzen, and thereby to participate in its future long-term success and prosperity. The Incentive Plan includes the following terms and provisions:</w:t>
      </w:r>
    </w:p>
    <w:p>
      <w:pPr>
        <w:spacing w:after="0" w:line="180" w:lineRule="exact"/>
        <w:rPr>
          <w:sz w:val="20"/>
          <w:szCs w:val="20"/>
          <w:color w:val="auto"/>
        </w:rPr>
      </w:pPr>
    </w:p>
    <w:p>
      <w:pPr>
        <w:jc w:val="both"/>
        <w:ind w:left="1300" w:right="2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under the Incentive Plan (in addition to awards assumed pursuant to the Business Combination) shall initially not exceed ten percent of total issued and outstanding Ordinary Shares (subject to annual increases pursuant to an evergreen provision as provided in the Incentive Plan).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Roadzen’s compensation committee shall review the Incentive Plan and shall make recommendations regarding the terms and conditions (including vesting) of each award, which may be based on (but is not limited to) the employment period or performance conditions or any combination thereof as determined by Roadzen’s compensation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ind w:left="1300" w:right="2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 may set customary lock-up provision for the shares issued under the Incentive Plan as well as customary limitations imposed by its Insider Trading Policy.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shares, which are subject to awards, shall again be available for future grants under the Incentive Plan.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the Incentive Plan may be subject to participants entering into customary non-compete and non-solicit agreements with Roadzen if determined by Roadzen’s compensation committee and on the terms set by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Roadzen’s board of directors has three standing committees: an audit committee, a compensation committee and a nominating and corporate governance committee. Subject to phase-in rules and a limited exception, the rules of Nasdaq and Rule 10A under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The charter of each committee is available on Roadzen’s website.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2026, Mr. Shah served as a member of the Compensation Committee and as a member of the Nominating and Corporate Governance Committee until his resignation from the Board on March 11, 2026. Effective March 11, 2026, the Board appointed Mses. Ashcroft and VedBrat to serve as a member of the Compensation Committee and Mr. Adhikari and Ms. VedBrat to serve as a member of the Nominating and Corporate Governance Committee. The Audit Committee was not affected by Mr. Shah’s resignation.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Glossman, Ms. VedBrat and Mr. Adhikari serve as members of our audit committee. Under the Nasdaq listing standards and applicable SEC rules, we are required to have at least three (3) members of the audit committee, all of whom must be independent, subject to the exception described below. Ms. Glossman, Ms. VedBrat and Mr. Adhikari are all independent.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Ms. Glossman serves as chair of the audit committee. Each member of the audit committee meets the financial literacy requirements of Nasdaq listing standards and our board of directors has determined that Ms. Glossman is an “audit committee financial expert” as defined in applicable SEC rules.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amongst other things, to prepare the audit committee report required by the SEC to be included in our proxy statement and to assist our board of directors in overseeing and monitoring (i) the quality and integrity of our financial statements, (ii) our compliance with legal and regulatory requirements, (iii) our independent registered public accounting firm’s qualifications and independence, (iv) the performance of our internal audit function, and (v) the performance of our independent registered public accounting firm.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audit committee, which is available on our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Adhikari, Ms. Ashcroft and Ms. VedBrat serve as members of our compensation committee. Under the Nasdaq listing standards and applicable SEC rules, we are required to have at least two (2) members of the compensation committee, all of whom must be independent. Mr. Adhikari, Ms. Ashcroft and Ms. VedBrat are all independent. Mr. Adhikari serves as chair of the compensation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The purpose of the compensation committee, amongst other things, is to assist our board of directors in discharging its responsibilities relating to</w:t>
      </w:r>
    </w:p>
    <w:p>
      <w:pPr>
        <w:spacing w:after="0" w:line="27" w:lineRule="exact"/>
        <w:rPr>
          <w:sz w:val="20"/>
          <w:szCs w:val="20"/>
          <w:color w:val="auto"/>
        </w:rPr>
      </w:pPr>
    </w:p>
    <w:p>
      <w:pPr>
        <w:jc w:val="both"/>
        <w:ind w:firstLine="8"/>
        <w:spacing w:after="0" w:line="255"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programs and compensation of our executive officers and directors, (ii) monitoring our incentive and equity-based compensation plans, and (iii) preparing the compensation committee report required to be included in our proxy statement under the rules and regulations of the SEC.</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compensation committee, which is available on our website. 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The compensation committee will consider the independence of each adviser, including the factors required by Nasdaq and the SEC, before engaging or receiving advice from a compensation consultant, external legal counsel or any other adviser.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Ashcroft, Ms. Adhikari and Ms. VedBrat serve as members of our nominating and corporate governance committee. Under the Nasdaq listing standards and applicable SEC rules, we are required to have at least two (2) members of the nominating and corporate governance committee, all of whom must be independent. Ms. Ashcroft, Mr. Adhikari and Ms. VedBrat are all independent. Ms. Ashcroft serves as chair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nominating and corporate governance committee, which is available on our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guidelines for selecting nominees generally include that persons to be nominated:</w:t>
      </w:r>
    </w:p>
    <w:p>
      <w:pPr>
        <w:spacing w:after="0" w:line="207"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shareholders and other persons.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Roadzen board considers the factors set forth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annually the relationships between directors, the Company and members of management and recommend to the Board whether each director qualifies as “independent” under the Board’s definition of “independence” and the applicable rules of Nasdaq and the Company’s Corporate Governance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adopted a new code of business conduct (the “code of business conduct”) that applies to all of our directors, officers and employees, including our Chief Executive Officer, Chief Financial Officer and Chief Operating Officer, which is available on our website. Our code of business conduct is a “code of ethics,” as defined in Item 406(b) of Regulation S-K. Copies of the code of business conduct and charters for each of our committees will be provided without charge upon request from us and are posted on our website. We will make any legally required disclosures regarding amendments to, or waivers of, provisions of our code of ethics on our Internet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roles of the chair of the board, principal executive officer and presiding director,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Securities and Exchange Act of 1934, as amended, requires our officers, directors, and beneficial owners of more than 10% of our equity securities to timely file certain reports regarding ownership of and transactions in our securities with the Securities and Exchange Commission. Copies of the required filings must also be furnished to us. Section 16(a) compliance was required during the fiscal year ended March 31, 2026. To our knowledge, during the fiscal year ended March 31, 2026, all Section 16(a) filing requirements applicable to our officers, directors and greater than 10% beneficial owners were complied with, except for the following late filings: (1) a Form 4 for Steven J. Carlson filed on February 19, 2026, reporting one transaction; (2) a Form 4 for Saurav Adhikari filed on January 27, 2026, reporting one transaction; and (3) Form 4s for Zoe Ashcroft, Steven J. Carlson, Supurna VedBrat, Ajay Shah and Diane Glossman on January 7, 2026, each reporting one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Roadzen has opted to comply with the executive compensation disclosure rules applicable to “smaller reporting companies,” as such term is defined in the rules promulgated under the Securities Act. This section discusses the material components of the executive compensation program for Roadzen’s named executive officers (“NEOs”) for the fiscal year ended March 31, 2026 (“Fiscal Year 2026”), including its Chief Executive Officer Rohan Malhotra, Chief Financial Officer Jean-Noël Gallardo and Chief Operating Officer Ankur Kamboj. Messrs. Malhotra and Gallardo are the only Roadzen NEOs serving in Fiscal Year 2026 with compensation in excess of $100,000.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current plans, considerations, expectations and determinations regarding future compensation programs. Actual compensation programs that Roadzen adopts could vary significantly from historical practices and currently planned programs summarized in this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Executive Compensation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objective of Roadzen’s compensation program is to provide a total compensation package to its executives, including its NEOs, that will enable Roadzen to attract, motivate and retain outstanding individuals, align the interests of our executive team with those of our shareholders, encourage individual and collective contributions to the successful execution of our short- and long-term business strategies and reward our executives for performance. The board of directors of Roadzen has historically determined the compensation for Mr. Malhotra.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Fiscal Year 2026 compensation program for Mr. Malhotra consisted of base salary, as described below and was paid in Indian rupees (“INR”). Amounts paid in INR have been translated into USD using the exchange rate in effect on the last day of Fiscal Year 2026, which was a rate of 1 INR to 0.01056 USD.</w:t>
      </w:r>
    </w:p>
    <w:p>
      <w:pPr>
        <w:spacing w:after="0" w:line="172" w:lineRule="exact"/>
        <w:rPr>
          <w:sz w:val="20"/>
          <w:szCs w:val="20"/>
          <w:color w:val="auto"/>
        </w:rPr>
      </w:pPr>
    </w:p>
    <w:p>
      <w:pPr>
        <w:jc w:val="both"/>
        <w:ind w:left="1300" w:hanging="644"/>
        <w:spacing w:after="0" w:line="268"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Malhotra is paid a base salary commensurate with his skill set, experience, performance, role and responsibilities.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2026, Mr. Malhotra’s annual salary was INR 9,000,000 (USD 95,083) through October 31, 2025, then transferred to USD 120,000 effective November 1, 2025.</w:t>
      </w:r>
    </w:p>
    <w:p>
      <w:pPr>
        <w:spacing w:after="0" w:line="170"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2026, Roadzen did not pay Mr. Malhotra a discretionary cash bonus. During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Roadzen did not grant any short-term cash bonuses to Mr. Malhotra pursuant to any non-equity incentive plan.</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2026, Roadzen did not grant any short-term equity incentive awards to Mr. Malhotra.</w:t>
      </w:r>
    </w:p>
    <w:p>
      <w:pPr>
        <w:spacing w:after="0" w:line="225" w:lineRule="exact"/>
        <w:rPr>
          <w:rFonts w:ascii="Times New Roman" w:cs="Times New Roman" w:eastAsia="Times New Roman" w:hAnsi="Times New Roman"/>
          <w:sz w:val="18"/>
          <w:szCs w:val="18"/>
          <w:color w:val="auto"/>
        </w:rPr>
      </w:pPr>
    </w:p>
    <w:p>
      <w:pPr>
        <w:jc w:val="both"/>
        <w:ind w:left="660" w:right="80" w:hanging="4"/>
        <w:spacing w:after="0" w:line="530" w:lineRule="auto"/>
        <w:tabs>
          <w:tab w:leader="none" w:pos="130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Long-Term Equity Incentives. </w:t>
      </w:r>
      <w:r>
        <w:rPr>
          <w:rFonts w:ascii="Times New Roman" w:cs="Times New Roman" w:eastAsia="Times New Roman" w:hAnsi="Times New Roman"/>
          <w:sz w:val="17"/>
          <w:szCs w:val="17"/>
          <w:color w:val="auto"/>
        </w:rPr>
        <w:t>During Fiscal Year 2026, Roadzen did not grant any long-term equity incentive awards to Mr. Malhotra.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Fiscal Year 2026 compensation program for Mr. Gallardo consisted of base salary, as described below and was paid in U.S. Dollars (“USD”).</w:t>
      </w:r>
    </w:p>
    <w:p>
      <w:pPr>
        <w:ind w:left="1300" w:hanging="644"/>
        <w:spacing w:after="0" w:line="28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Gallardo is paid a base salary commensurate with his skill set, experience, performance, role and responsibilities.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2026, Mr. Gallardo’s annual salary was USD 250,000.</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2026, Roadzen did not pay Mr. Gallardo a discretionary cash bonus. During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Roadzen did not grant any short-term cash bonuses to Mr. Gallardo pursuant to any non-equity incentive plan.</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2026, Roadzen did not grant any short-term equity incentive awards to Mr. Gallardo.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2026, Roadzen did not grant any long-term equity incentive awards to Mr. Gallardo.</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Fiscal Year 2026 compensation program for Mr. Kamboj consisted of base salary, as described below and was paid in INR. Amounts paid in INR have been translated into USD using the exchange rate in effect on the last day of Fiscal Year 2026, which was a rate of 1 INR to 0.01056 USD.</w:t>
      </w:r>
    </w:p>
    <w:p>
      <w:pPr>
        <w:spacing w:after="0" w:line="158" w:lineRule="exact"/>
        <w:rPr>
          <w:sz w:val="20"/>
          <w:szCs w:val="20"/>
          <w:color w:val="auto"/>
        </w:rPr>
      </w:pPr>
    </w:p>
    <w:p>
      <w:pPr>
        <w:ind w:left="1300" w:hanging="644"/>
        <w:spacing w:after="0" w:line="28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Kamboj is paid a base salary commensurate with his skill set, experience, performance, role and responsibilities.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2026, Mr. Kamboj’s annual salary was INR 6,000,000 (USD 63,389).</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ind w:left="1300" w:hanging="644"/>
        <w:spacing w:after="0" w:line="268"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2026, Roadzen did not pay Mr. Kamboj a discretionary cash bonus. During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Roadzen paid Mr. Kamboj a discretionary cash bonus of INR 1,500,000 (USD 15,847) towards deduction of base salary made during fiscal year 2025.</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2026, Roadzen did not grant any short-term equity incentive awards to Mr. Kamboj.</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2026, Roadzen did not grant any long-term equity incentive awards to Mr. Kamboj.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Mr. Malhotra, Mr. Gallardo and Mr. Kamboj for services rendered to Roadzen (and its subsidiaries) in all capacities for the fiscal year ended March 31, 2026 and the fiscal year ended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 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20" w:type="dxa"/>
            <w:vAlign w:val="bottom"/>
          </w:tcPr>
          <w:p>
            <w:pPr>
              <w:spacing w:after="0"/>
              <w:rPr>
                <w:sz w:val="23"/>
                <w:szCs w:val="23"/>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jc w:val="center"/>
              <w:ind w:right="2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32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r>
      <w:tr>
        <w:trPr>
          <w:trHeight w:val="250"/>
        </w:trPr>
        <w:tc>
          <w:tcPr>
            <w:tcW w:w="40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Rohan Malhotra</w:t>
            </w:r>
            <w:r>
              <w:rPr>
                <w:rFonts w:ascii="Times New Roman" w:cs="Times New Roman" w:eastAsia="Times New Roman" w:hAnsi="Times New Roman"/>
                <w:sz w:val="28"/>
                <w:szCs w:val="28"/>
                <w:color w:val="auto"/>
                <w:vertAlign w:val="superscript"/>
              </w:rPr>
              <w:t>(1)</w:t>
            </w:r>
          </w:p>
        </w:tc>
        <w:tc>
          <w:tcPr>
            <w:tcW w:w="2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105,465</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105,465</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105,163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105,163</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680,100</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Ankur Kamboj</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63,389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15,847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79,236</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52,582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52,582</w:t>
            </w:r>
          </w:p>
        </w:tc>
      </w:tr>
    </w:tbl>
    <w:p>
      <w:pPr>
        <w:spacing w:after="0" w:line="198" w:lineRule="exact"/>
        <w:rPr>
          <w:sz w:val="20"/>
          <w:szCs w:val="20"/>
          <w:color w:val="auto"/>
        </w:rPr>
      </w:pPr>
    </w:p>
    <w:p>
      <w:pPr>
        <w:jc w:val="both"/>
        <w:ind w:left="660" w:hanging="652"/>
        <w:spacing w:after="0" w:line="25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2026 and Fiscal Year 2025, Messrs. Malhotra and Kamboj’s cash compensation was paid in INR. Amounts paid in INR were translated into USD using the exchange rate in effect on the last day of the fiscal year: for Fiscal Year 2026 – 1 INR = 0.01056 USD, for Fiscal Year 2025 – 1 INR = 0.01168 USD.</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represents the grant date fair value of the RSUs granted during the applicable fiscal year, calculated using the Black-Scholes model. See Note 26 in the F-pages for the assumptions used in calculating this amount. Each Roadzen (DE) RSU was granted on September 18, 2023 with an initial 1-year vesting period per the following table, which was later extended on two occasions for a further period of 1 year each:</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RSU Grant at</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rate to Public</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RSU Grant at</w:t>
            </w:r>
          </w:p>
        </w:tc>
      </w:t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Roadzen (DE)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Roadzen (BVI)</w:t>
            </w: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45,936</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1,250,007</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Messrs. Malhotra, Gallardo and Kamboj are generally eligible to participate in the health and welfare and other employee benefit programs offered by Roadzen (or its subsidiaries) on the same basis as other executives in their respective geographies, subject to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filing, Mr. Malhotra is not party to an employment agreement with Roadzen (or its subsidiaries). Messrs. Gallardo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Kamboj are each party to an employment agreement with Roadzen (or its subsidiaries), as described below:</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2017, the Company appointed Ankur Kamboj to serve as the Company’s Chief Operating Officer (“COO”). The employment agreement is for an indefinite period. Pursuant to the agreement, the Company will pay Mr. Kamboj an annualized base salary of INR 2,400,000 (USD 37,030; 1 INR = 0.015429 USD as of March 31, 2017). Mr. Kamboj was given a salary increase to INR 6,000,000 (USD 63,389; 1 INR = 0.01056 USD as of March 31, 2026) on September 1,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4, 2024, the Company appointed Jean-Noël Gallardo to serve as the Company’s Chief Financial Officer (“CFO”). The employment agreement is for a one-year term with automatic successive one-year renewal terms. Pursuant to the agreement, the Company will pay Mr. Gallardo an annualized base salary of USD 250,000.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End of Fiscal Year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Malhotra had 5,616,550 Roadzen (BVI) RSUs as of March 31, 2026, which will vest on September 17,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Gallardo had 115,000 Roadzen (BVI) RSUs as of March 31, 2026, which vest on November 21,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Kamboj had 1,250,007 Roadzen (BVI) RSUs as of March 31, 2026, which will vest on September 17, 2026.</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equity awards held by each of our named executive officers as of March 31, 2026, which were granted under our Incentive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Equity incentive</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Market</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awards: Number</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payout value of</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unearned</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 shares,</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underlined options</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units 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 or other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 rights that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rights that have</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underlined options</w:t>
            </w:r>
          </w:p>
        </w:tc>
        <w:tc>
          <w:tcPr>
            <w:tcW w:w="1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have not vested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 vested (2)</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6,739,860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138,000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1,500,008</w:t>
            </w:r>
          </w:p>
        </w:tc>
      </w:tr>
    </w:tbl>
    <w:p>
      <w:pPr>
        <w:spacing w:after="0" w:line="19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on September 18, 2023 for Messrs. Malhotra and Kamboj, and granted on May 24, 2024 for Mr. Gallardo.</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price of RDZN at the close of trading on March 31, 2026 of $1.20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Messrs. Malhotra and Kamboj were not eligible for any potential payments upon any form of termination or resignation of employment or a change in control of Roadzen (or its subsidiaries) if such event took place on March 31, 2026, or at any other point during Fiscal Year 2026, other than as required by local regulations. Mr. Gallardo was eligible to a potential payment upon termination of employment without cause, or resignation for good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Roadzen’s non-employee directors are entitled to receive $75,000 in annual compensation for services rendered to Roadzen for the fiscal year ended March 31, 2026. The Chairman and the Audit Chair are entitled to receive an extra $35,000 and $15,000, respectively, in annual compensation for the fiscal year ended March 31, 2026. The following table sets forth information regarding compensation of each director, other than named executive officers, for the fiscal year ended March 31, 2026, to be paid in cash and RSU grants.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Shah</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the Company entered into non-qualified stock option agreements with its non-employee directors, in exchange for accrued compensation previously owed to those directors for the period starting from the Business Combination through March 31, 2025. Pursuant to the terms of the agreements, each director received options with an exercise price of $2.00 per Ordinary Share, for an aggregate of 1,069,124 Ordinary Shares that are issuable upon exercise of the options,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Option Awards</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267,281</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Shah</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152,732</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152,732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152,732</w:t>
            </w: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compensation recovery policy (the Company’s Clawback Policy), which was effective November 30, 2023, that is compliant with the Nasdaq Listing Rules, as required by the Dodd-Frank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Business Combination, our Board and shareholders adopted the Incentive Plan as well as an Employee Stock Purchase Plan (“ESPP”).</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Awards under the Incentive Plan are available for employees, directors and consultants. The general purpose of the Incentive Plan is to motivate the performance in the achievement of the Company’s business objectives and align the interests of recipients with the long- term interests of the Company’s shareholders. To accomplish such purposes, the Incentive Plan provides that the Company may grant (i) options, (ii) stock appreciation rights,</w:t>
      </w:r>
    </w:p>
    <w:p>
      <w:pPr>
        <w:spacing w:after="0" w:line="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(iv) restricted stock units, (v) performance-based awards (including performance-based restricted shares and restricted stock units),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share-based awards, (vii) other cash-based awards or (viii) any combination of the foregoing.</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general purpose of the ESPP is to allow employees an opportunity to participate in the ownership of the Company through deductions from their pay to be utilized to purchase Ordinary Shares of the Company at prices that could be at a discount to the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number of Ordinary Shares authorized for issuance under our equity compensation plans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future issuances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60" w:type="dxa"/>
            <w:vAlign w:val="bottom"/>
          </w:tcPr>
          <w:p>
            <w:pPr>
              <w:spacing w:after="0"/>
              <w:rPr>
                <w:sz w:val="18"/>
                <w:szCs w:val="18"/>
                <w:color w:val="auto"/>
              </w:rPr>
            </w:pPr>
          </w:p>
        </w:tc>
        <w:tc>
          <w:tcPr>
            <w:tcW w:w="1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0" w:type="dxa"/>
            <w:vAlign w:val="bottom"/>
          </w:tcPr>
          <w:p>
            <w:pPr>
              <w:spacing w:after="0"/>
              <w:rPr>
                <w:sz w:val="1"/>
                <w:szCs w:val="1"/>
                <w:color w:val="auto"/>
              </w:rPr>
            </w:pPr>
          </w:p>
        </w:tc>
      </w:tr>
      <w:tr>
        <w:trPr>
          <w:trHeight w:val="238"/>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Category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Equity compensation plans approved by security</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i w:val="1"/>
                <w:iCs w:val="1"/>
                <w:color w:val="auto"/>
                <w:w w:val="96"/>
              </w:rPr>
              <w:t>holders</w:t>
            </w:r>
          </w:p>
        </w:tc>
        <w:tc>
          <w:tcPr>
            <w:tcW w:w="3460" w:type="dxa"/>
            <w:vAlign w:val="bottom"/>
            <w:shd w:val="clear" w:color="auto" w:fill="CCEEFF"/>
          </w:tcPr>
          <w:p>
            <w:pPr>
              <w:jc w:val="right"/>
              <w:ind w:right="3185"/>
              <w:spacing w:after="0"/>
              <w:rPr>
                <w:sz w:val="20"/>
                <w:szCs w:val="20"/>
                <w:color w:val="auto"/>
              </w:rPr>
            </w:pPr>
            <w:r>
              <w:rPr>
                <w:rFonts w:ascii="Times New Roman" w:cs="Times New Roman" w:eastAsia="Times New Roman" w:hAnsi="Times New Roman"/>
                <w:sz w:val="15"/>
                <w:szCs w:val="15"/>
                <w:i w:val="1"/>
                <w:iCs w:val="1"/>
                <w:color w:val="auto"/>
              </w:rPr>
              <w:t>(1)</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9,765,119</w:t>
            </w:r>
          </w:p>
        </w:tc>
        <w:tc>
          <w:tcPr>
            <w:tcW w:w="2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91"/>
              </w:rPr>
              <w:t>(2)</w:t>
            </w:r>
          </w:p>
        </w:tc>
        <w:tc>
          <w:tcPr>
            <w:tcW w:w="240" w:type="dxa"/>
            <w:vAlign w:val="bottom"/>
            <w:gridSpan w:val="2"/>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18,188,825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2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Equity compensation plans not approved by security</w:t>
            </w: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6"/>
              </w:rPr>
              <w:t>holders</w:t>
            </w:r>
          </w:p>
        </w:tc>
        <w:tc>
          <w:tcPr>
            <w:tcW w:w="3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gridSpan w:val="2"/>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9,765,119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18,188,825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row include the Incentive Plan and the 2023 Employee Stock Purchase Plan.</w:t>
      </w:r>
    </w:p>
    <w:p>
      <w:pPr>
        <w:spacing w:after="0" w:line="2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10,102,843 RSUs granted, less 337,724 RSUs that are vested but not exercised.</w:t>
      </w:r>
    </w:p>
    <w:p>
      <w:pPr>
        <w:spacing w:after="0" w:line="9" w:lineRule="exact"/>
        <w:rPr>
          <w:rFonts w:ascii="Times New Roman" w:cs="Times New Roman" w:eastAsia="Times New Roman" w:hAnsi="Times New Roman"/>
          <w:sz w:val="18"/>
          <w:szCs w:val="18"/>
          <w:color w:val="auto"/>
        </w:rPr>
      </w:pPr>
    </w:p>
    <w:p>
      <w:pPr>
        <w:ind w:left="800" w:right="20" w:hanging="792"/>
        <w:spacing w:after="0" w:line="260"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16,820,009 Ordinary Shares reserved for future equity awards under the Incentive Plan and 1,368,816 Ordinary Shares available for purchase under the 2023 Employee Stock Purchase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Beneficial Ownership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beneficial ownership of our Ordinary Shares as of June 26, 2026 by:</w:t>
      </w:r>
    </w:p>
    <w:p>
      <w:pPr>
        <w:spacing w:after="0" w:line="22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issued and outstanding Ordinary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June 26,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beneficial ownership is based on 84,562,603 Ordinary Shares issued and outstanding as of June 26, 2026.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or director have been pledged as security.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varying beneficial ownership levels in Roadzen with the percentage of outstanding shares based on Ordinary Shares as of June 26,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Voting Power</w:t>
            </w:r>
          </w:p>
        </w:tc>
      </w:tr>
      <w:tr>
        <w:trPr>
          <w:trHeight w:val="250"/>
        </w:trPr>
        <w:tc>
          <w:tcPr>
            <w:tcW w:w="674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i w:val="1"/>
                <w:iCs w:val="1"/>
                <w:color w:val="auto"/>
              </w:rPr>
              <w:t>Directors and Named Executive Officers of Roadzen</w:t>
            </w:r>
            <w:r>
              <w:rPr>
                <w:rFonts w:ascii="Times New Roman" w:cs="Times New Roman" w:eastAsia="Times New Roman" w:hAnsi="Times New Roman"/>
                <w:sz w:val="28"/>
                <w:szCs w:val="28"/>
                <w:b w:val="1"/>
                <w:bCs w:val="1"/>
                <w:i w:val="1"/>
                <w:iCs w:val="1"/>
                <w:color w:val="auto"/>
                <w:vertAlign w:val="superscript"/>
              </w:rPr>
              <w:t>(1)</w:t>
            </w:r>
          </w:p>
        </w:tc>
        <w:tc>
          <w:tcPr>
            <w:tcW w:w="20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Rohan Malhotra</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18,472,709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Jean-Noël Gallardo</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Ankur Kamboj</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Saurav Adhikari</w:t>
            </w:r>
            <w:r>
              <w:rPr>
                <w:rFonts w:ascii="Times New Roman" w:cs="Times New Roman" w:eastAsia="Times New Roman" w:hAnsi="Times New Roman"/>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856,849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Carlson</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1,659,281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Supurna VedBrat</w:t>
            </w:r>
            <w:r>
              <w:rPr>
                <w:rFonts w:ascii="Times New Roman" w:cs="Times New Roman" w:eastAsia="Times New Roman" w:hAnsi="Times New Roman"/>
                <w:sz w:val="29"/>
                <w:szCs w:val="29"/>
                <w:color w:val="auto"/>
                <w:vertAlign w:val="superscript"/>
              </w:rPr>
              <w:t>(7)</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359,994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Zoë Ashcroft</w:t>
            </w:r>
            <w:r>
              <w:rPr>
                <w:rFonts w:ascii="Times New Roman" w:cs="Times New Roman" w:eastAsia="Times New Roman" w:hAnsi="Times New Roman"/>
                <w:sz w:val="29"/>
                <w:szCs w:val="29"/>
                <w:color w:val="auto"/>
                <w:vertAlign w:val="superscript"/>
              </w:rPr>
              <w:t>(8)</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176,771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Diane B. Glossman</w:t>
            </w:r>
            <w:r>
              <w:rPr>
                <w:rFonts w:ascii="Times New Roman" w:cs="Times New Roman" w:eastAsia="Times New Roman" w:hAnsi="Times New Roman"/>
                <w:sz w:val="29"/>
                <w:szCs w:val="29"/>
                <w:color w:val="auto"/>
                <w:vertAlign w:val="superscript"/>
              </w:rPr>
              <w:t>(9)</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244,762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individuals)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or more Percent Holders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Avacara PTE, Ltd. </w:t>
            </w:r>
            <w:r>
              <w:rPr>
                <w:rFonts w:ascii="Times New Roman" w:cs="Times New Roman" w:eastAsia="Times New Roman" w:hAnsi="Times New Roman"/>
                <w:sz w:val="29"/>
                <w:szCs w:val="29"/>
                <w:color w:val="auto"/>
                <w:vertAlign w:val="superscript"/>
              </w:rPr>
              <w:t>(10)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17,577,213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13books Capital LP </w:t>
            </w:r>
            <w:r>
              <w:rPr>
                <w:rFonts w:ascii="Times New Roman" w:cs="Times New Roman" w:eastAsia="Times New Roman" w:hAnsi="Times New Roman"/>
                <w:sz w:val="29"/>
                <w:szCs w:val="29"/>
                <w:color w:val="auto"/>
                <w:vertAlign w:val="superscript"/>
              </w:rPr>
              <w:t>(11)</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8,095,191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Naveen Arya</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5,442,379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7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c/o Roadzen Inc., 111 Anza Boulevard, Suite 109, Burlingame, California 94010.</w:t>
      </w:r>
    </w:p>
    <w:p>
      <w:pPr>
        <w:jc w:val="both"/>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March 3, 2026 by Rohan Malhotra, a citizen of India. Includes 849,642 shares owned by Mr. Malhotra individually plus 45,854 shares owned by RM Securities LLC, a limited liability company of which Mr. Malhotra is the sole member. The principal business of Mr. Malhotra is serving as the Chief Executive Officer and as a member of the board of directors of the Company. Also includes 17,577,213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Mr. Malhotra disclaims any beneficial ownership of the shares held by Avacara, except to the extent of his pecuniary interest therein. Does not include 5,616,550 shares underlying restricted stock units (“RSUs”) issued under the Roadzen Inc. 2023 Omnibus Incentive Plan, as amended and/or restated from time to time (the “Plan”). Each RSU represents the contingent right to receive one Ordinary Share. Each RSU fully vests on September 17, 2026, subject to Mr. Malhotra’s continuous service with the Issuer through the vesting date.</w:t>
      </w:r>
    </w:p>
    <w:p>
      <w:pPr>
        <w:spacing w:after="0" w:line="3"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115,000 Ordinary Shares underlying the RSUs issued to Mr. Gallardo under the Plan. Each RSU representing a contingent right to receive one Ordinary Share. The RSUs vest on November 21, 2026.</w:t>
      </w:r>
    </w:p>
    <w:p>
      <w:pPr>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September 22, 2023. Does not include 1,250,007 Ordinary Shares underlying the RSUs issued to Mr. Kamboj under the Plan. Each RSU representing a contingent right to receive one Ordinary Share. Each RSU fully vests on September 17, 2026.</w:t>
      </w:r>
    </w:p>
    <w:p>
      <w:pPr>
        <w:jc w:val="both"/>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472,973 Ordinary Shares, (ii) 231,144 Ordinary Shares underlying Private Placement Warrants, and (iii) 152,732 Ordinary Shares issuable upon the exercise of stock options that are exercisable at any time after September 15, 2025. Does not include 28,936 Ordinary Shares underlying RSUs issued to Mr. Adhikari on October 1, 2025, which vest on October 1, 2026.</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36,058 Ordinary Shares, (ii) 267,281 Ordinary Shares issuable upon the exercise of stock options that are exercisable at any time after September 15, 2025, (iii) 892,857 shares held of record by Marco Polo Securities, Inc. (“MP”) and (iv) 463,085 Ordinary Shares as a pro rata distribution from Magellan Global, of which Mr. Carlson is a non-managing member. Does not include 43,403 Ordinary Shares underlying RSUs issued to Mr. Carlson on October 1, 2025, which vest on October 1, 2026. Mr. Carlson is the Chief Executive Officer of MP, a corporation incorporated in the State of New York, and as such may be deemed to have beneficial ownership of the Ordinary Shares held directly by MP. Mr. Carlson disclaims any beneficial ownership of the shares held by MP, except to the extent of his pecuniary interest therein. The principal address of Mr. Carlson and MP is 1230 Avenue of the Americas, 16th Floor, New York, NY 10020.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ind w:left="660" w:hanging="652"/>
        <w:spacing w:after="0" w:line="25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42,089 Ordinary Shares, (ii) 6,350 Ordinary Shares underlying warrants exercisable at $11.50, (iii) 58,823 Ordinary Shares underlying convertible debentures convertible at $8.50 per Ordinary Share, (iv) 100,000 Ordinary Shares underlying warrants issued in connection with the March 2024 Notes and the May 2024 Note, and (v) 152,732 Ordinary Shares issuable upon the exercise of stock options that are exercisable at any time after September 15, 2025. Does not include 28,936 Ordinary Shares underlying RSUs issued to Ms. VedBrat on October 1, 2025, which vest on October 1, 2026.</w:t>
      </w:r>
    </w:p>
    <w:p>
      <w:pPr>
        <w:spacing w:after="0" w:line="3"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24,039 Ordinary Shares, and (ii) 152,732 Ordinary Shares issuable upon the exercise of stock options that are exercisable at any time after September 15, 2025. Does not include 28,936 Ordinary Shares underlying RSUs issued to Ms. Ashcroft on October 1, 2025, which vest on October 1, 2026.</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53,847 Ordinary Shares, and (ii) 190,915 Ordinary Shares issuable upon the exercise of stock options that are exercisable at any time after September 15, 2025. Does not include 34,723 Ordinary Shares underlying RSUs issued to Ms. Glossman on October 1, 2025, which vest on October 1, 2026.</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December 31, 2024 by Avacara Pte. Ltd (“Avacara”) and information from Mr. Malhotra. Avacara owns 17,577,213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The business address of Avacara is 14 Robinson Road, #12-01/02 Far East Finance Building, Singapore 048545. Does not include shares owned by RM Securities LLC and Mr. Malhotra.</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May 7, 2024, on behalf (i) 13books Capital LP, formerly known as Element Ventures LP, a Private Fund Limited Partnership duly registered under the laws of England and Wales (“13books”), and (ii) 13books Capital General Partner LLP, formerly known as Element Ventures General Partner LLP, a Limited Liability Partnership duly registered under the laws of England and Wales ( “13 books GP” and with 13books, the “Reporting Persons”). 13books Capital General Partner LLP is the general partner of 13books and may be deemed to have sole power to vote and sole power to dispose of the shares of the Company directly owned by 13books. The principal business address of each of the Reporting Persons is First Floor, 80 Clerkenwell Road, London EC1M 5RJ.</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“Roadzen’s Executive and Director Compensation” in this Annual Report and the transactions described below, since April 1, 2025, there has not been and there is not currently proposed, any transaction or series of similar transactions to which we were, or will be, a party in which the amount involved exceeded, or will exceed, the lesser of (i) $120,000 or (ii) one percent of the average of our total assets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24, 2025, the Company entered into a subscription agreement (the “Exchange Agreement”) with related party Avacara PTE Ltd. (“Avacara”). Pursuant to the terms of the Subscription Agreement, on that date, approximately $0.13 million in aggregate of liabilities of the Company to such entity was canceled in exchange for the issuance of an aggregate of 104,000 Ordinary Shares (the “Exchange Shares”). The Company’s Chief Executive Officer, Rohan Malhotra, is the principal owner and Managing Partner of Avacara, a significant shareholder of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Subscription Agreement includes customary “piggyback” registration rights, as well as demand registration rights which require the Company to register the Exchange Shares if requested by Avacara.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Prior to our initial public offering, the material facts as to the related party’s relationship or interest in the transaction were disclosed to our board of directors, and such transactions required the approval of a majority of the directors who were not interested in the transaction. Further, when our stockholders were entitled to vote on a transaction with a related party, the material facts of the related party’s relationship or interest in the transaction were disclosed to the stockholders, who approved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Roadzen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or a series of transactions in which (i) the Company was or is to be a participant, (ii) the amount of which exceeds the lesser of (x) $120,000 in the aggregate or (y) one percent of the average of the Company’s total assets at year-end for the last two completed fiscal years and (iii) the related party had or will have a direct or indirect material interest. A related party transaction also includes any material amendment or modification to an existing related party transaction regardless of whether such transaction has previously been approved in accordance with our policy. For purposes of this policy, a related person is defined as (a) any person serving as a director, director nominee or executive officer of the Company or any person who has served in any of such roles since the beginning of the most recent fiscal year, even if he or she does not currently serve in that role, (b) a greater than 5% beneficial owner of our Ordinary Shares, (c) any immediate family member of any of the foregoing persons if the foregoing person is a natural person, or (d) any other person who may be a “related person” pursuant to Item 404 of Regulation S-K under the Securities Exchange Act of 1934,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“Director Independence” in Part III, Item 10. “Directors, Executive Officers and Corporate Governance”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ASA &amp; Associates LLP, Roadzen’s independent registered public accounting firm, billed/ expected to be billed in each of the last two fiscal years for audit fees and other services: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gridSpan w:val="3"/>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56"/>
        </w:trPr>
        <w:tc>
          <w:tcPr>
            <w:tcW w:w="6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r>
      <w:tr>
        <w:trPr>
          <w:trHeight w:val="257"/>
        </w:trPr>
        <w:tc>
          <w:tcPr>
            <w:tcW w:w="67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56"/>
        </w:trPr>
        <w:tc>
          <w:tcPr>
            <w:tcW w:w="6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9"/>
                <w:szCs w:val="29"/>
                <w:color w:val="auto"/>
                <w:vertAlign w:val="superscript"/>
              </w:rPr>
              <w:t>(4)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 normally provided by ASA, as applicable, in connection with regulatory filings.</w:t>
      </w:r>
    </w:p>
    <w:p>
      <w:pPr>
        <w:jc w:val="both"/>
        <w:ind w:left="660" w:right="20" w:hanging="652"/>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all other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Roadzen’s audit committee was formed in connection with the effectiveness of our registration statement for its initial public offering. As a result, the audit committee did not pre-approve all of the foregoing services, although any services rendered prior to the formation of our audit committee were approved by the Company’s board of directors. Since the formation of its audit committee, and on a going-forward basis, the audit committee has and will pre-approve all audit services and permitted non-audit services to be performed for it by its auditors, including the fees and terms thereof (subject to the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exceptions for non-audit services described in the Exchange Act which are approved by the audit committee prior to the completion of the audit).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F-29 attached hereto and are filed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w:t>
            </w:r>
          </w:p>
        </w:tc>
        <w:tc>
          <w:tcPr>
            <w:tcW w:w="26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85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3083)</w:t>
            </w:r>
          </w:p>
        </w:tc>
        <w:tc>
          <w:tcPr>
            <w:tcW w:w="268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 (Audited):</w:t>
            </w:r>
          </w:p>
        </w:tc>
        <w:tc>
          <w:tcPr>
            <w:tcW w:w="4340" w:type="dxa"/>
            <w:vAlign w:val="bottom"/>
            <w:tcBorders>
              <w:top w:val="single" w:sz="8" w:color="CCEEFF"/>
            </w:tcBorders>
            <w:gridSpan w:val="5"/>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 as of March 31, 2026 and March 31, 2025</w:t>
            </w:r>
          </w:p>
        </w:tc>
        <w:tc>
          <w:tcPr>
            <w:tcW w:w="3280" w:type="dxa"/>
            <w:vAlign w:val="bottom"/>
            <w:tcBorders>
              <w:bottom w:val="single" w:sz="8" w:color="CCEEFF"/>
            </w:tcBorders>
            <w:gridSpan w:val="4"/>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6"/>
        </w:trPr>
        <w:tc>
          <w:tcPr>
            <w:tcW w:w="180" w:type="dxa"/>
            <w:vAlign w:val="bottom"/>
          </w:tcPr>
          <w:p>
            <w:pPr>
              <w:spacing w:after="0"/>
              <w:rPr>
                <w:sz w:val="15"/>
                <w:szCs w:val="15"/>
                <w:color w:val="auto"/>
              </w:rPr>
            </w:pPr>
          </w:p>
        </w:tc>
        <w:tc>
          <w:tcPr>
            <w:tcW w:w="8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March 31, 2026 and 2025</w:t>
            </w:r>
          </w:p>
        </w:tc>
        <w:tc>
          <w:tcPr>
            <w:tcW w:w="2680" w:type="dxa"/>
            <w:vAlign w:val="bottom"/>
          </w:tcPr>
          <w:p>
            <w:pPr>
              <w:ind w:left="22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March 31, 2026 and 2025</w:t>
            </w:r>
          </w:p>
        </w:tc>
        <w:tc>
          <w:tcPr>
            <w:tcW w:w="268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180" w:type="dxa"/>
            <w:vAlign w:val="bottom"/>
            <w:tcBorders>
              <w:top w:val="single" w:sz="8" w:color="CCEEFF"/>
            </w:tcBorders>
          </w:tcPr>
          <w:p>
            <w:pPr>
              <w:spacing w:after="0"/>
              <w:rPr>
                <w:sz w:val="15"/>
                <w:szCs w:val="15"/>
                <w:color w:val="auto"/>
              </w:rPr>
            </w:pPr>
          </w:p>
        </w:tc>
        <w:tc>
          <w:tcPr>
            <w:tcW w:w="6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2260" w:type="dxa"/>
            <w:vAlign w:val="bottom"/>
            <w:tcBorders>
              <w:top w:val="single" w:sz="8" w:color="CCEEFF"/>
            </w:tcBorders>
          </w:tcPr>
          <w:p>
            <w:pPr>
              <w:spacing w:after="0"/>
              <w:rPr>
                <w:sz w:val="15"/>
                <w:szCs w:val="15"/>
                <w:color w:val="auto"/>
              </w:rPr>
            </w:pPr>
          </w:p>
        </w:tc>
        <w:tc>
          <w:tcPr>
            <w:tcW w:w="2680" w:type="dxa"/>
            <w:vAlign w:val="bottom"/>
            <w:tcBorders>
              <w:top w:val="single" w:sz="8" w:color="CCEEFF"/>
            </w:tcBorders>
          </w:tcPr>
          <w:p>
            <w:pPr>
              <w:ind w:left="22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180" w:type="dxa"/>
            <w:vAlign w:val="bottom"/>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 (Deficit)</w:t>
            </w:r>
          </w:p>
        </w:tc>
        <w:tc>
          <w:tcPr>
            <w:tcW w:w="268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5"/>
        </w:trPr>
        <w:tc>
          <w:tcPr>
            <w:tcW w:w="180" w:type="dxa"/>
            <w:vAlign w:val="bottom"/>
            <w:tcBorders>
              <w:top w:val="single" w:sz="8" w:color="CCEEFF"/>
            </w:tcBorders>
          </w:tcPr>
          <w:p>
            <w:pPr>
              <w:spacing w:after="0"/>
              <w:rPr>
                <w:sz w:val="15"/>
                <w:szCs w:val="15"/>
                <w:color w:val="auto"/>
              </w:rPr>
            </w:pPr>
          </w:p>
        </w:tc>
        <w:tc>
          <w:tcPr>
            <w:tcW w:w="51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220" w:type="dxa"/>
            <w:vAlign w:val="bottom"/>
            <w:tcBorders>
              <w:top w:val="single" w:sz="8" w:color="CCEEFF"/>
            </w:tcBorders>
            <w:gridSpan w:val="3"/>
          </w:tcPr>
          <w:p>
            <w:pPr>
              <w:spacing w:after="0"/>
              <w:rPr>
                <w:sz w:val="15"/>
                <w:szCs w:val="15"/>
                <w:color w:val="auto"/>
              </w:rPr>
            </w:pPr>
          </w:p>
        </w:tc>
        <w:tc>
          <w:tcPr>
            <w:tcW w:w="2680" w:type="dxa"/>
            <w:vAlign w:val="bottom"/>
            <w:tcBorders>
              <w:top w:val="single" w:sz="8" w:color="CCEEFF"/>
            </w:tcBorders>
          </w:tcPr>
          <w:p>
            <w:pPr>
              <w:ind w:left="224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80" w:type="dxa"/>
            <w:vAlign w:val="bottom"/>
            <w:tcBorders>
              <w:bottom w:val="single" w:sz="8" w:color="auto"/>
            </w:tcBorders>
          </w:tcPr>
          <w:p>
            <w:pPr>
              <w:spacing w:after="0"/>
              <w:rPr>
                <w:sz w:val="24"/>
                <w:szCs w:val="24"/>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09"/>
        </w:trPr>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5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Memorandum and Articles of Association of Roadzen</w:t>
              </w:r>
            </w:hyperlink>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Inc.</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5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Specimen Ordinary Shares Certificate of Roadzen Inc.</w:t>
              </w:r>
            </w:hyperlink>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7"/>
                <w:szCs w:val="17"/>
                <w:color w:val="auto"/>
              </w:rPr>
            </w:pPr>
          </w:p>
        </w:tc>
        <w:tc>
          <w:tcPr>
            <w:tcW w:w="5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Warrant Certificate of Roadzen Inc.</w:t>
              </w:r>
            </w:hyperlink>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shd w:val="clear" w:color="auto" w:fill="CCEEFF"/>
          </w:tcPr>
          <w:p>
            <w:pPr>
              <w:spacing w:after="0"/>
              <w:rPr>
                <w:sz w:val="17"/>
                <w:szCs w:val="17"/>
                <w:color w:val="auto"/>
              </w:rPr>
            </w:pPr>
          </w:p>
        </w:tc>
        <w:tc>
          <w:tcPr>
            <w:tcW w:w="5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Warrant Agreement, dated November 22, 2021</w:t>
              </w:r>
            </w:hyperlink>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11/29/2021</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shd w:val="clear" w:color="auto" w:fill="CCEEFF"/>
          </w:tcPr>
          <w:p>
            <w:pPr>
              <w:spacing w:after="0"/>
              <w:rPr>
                <w:sz w:val="17"/>
                <w:szCs w:val="17"/>
                <w:color w:val="auto"/>
              </w:rPr>
            </w:pPr>
          </w:p>
        </w:tc>
        <w:tc>
          <w:tcPr>
            <w:tcW w:w="588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convertible debenture</w:t>
              </w:r>
            </w:hyperlink>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1/24/2024</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Borders>
              <w:bottom w:val="single" w:sz="8" w:color="CCEEFF"/>
            </w:tcBorders>
            <w:shd w:val="clear" w:color="auto" w:fill="CCEEFF"/>
          </w:tcPr>
          <w:p>
            <w:pPr>
              <w:spacing w:after="0"/>
              <w:rPr>
                <w:sz w:val="15"/>
                <w:szCs w:val="15"/>
                <w:color w:val="auto"/>
              </w:rPr>
            </w:pPr>
          </w:p>
        </w:tc>
        <w:tc>
          <w:tcPr>
            <w:tcW w:w="576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Senior Secured Notes (incorporated by reference to Exhibit 4.1 of</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4/4/2024</w:t>
            </w:r>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8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Roadzen’s Current Report on Form 8-K (File No. 001-41094), filed with the</w:t>
              </w:r>
            </w:hyperlink>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Securities and Exchange Commission on April 4, 2024).</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Amended and Restated Warrant</w:t>
              </w:r>
            </w:hyperlink>
          </w:p>
        </w:tc>
        <w:tc>
          <w:tcPr>
            <w:tcW w:w="3580" w:type="dxa"/>
            <w:vAlign w:val="bottom"/>
            <w:tcBorders>
              <w:bottom w:val="single" w:sz="8" w:color="CCEEFF"/>
            </w:tcBorders>
            <w:gridSpan w:val="7"/>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3/5/2025</w:t>
            </w:r>
          </w:p>
        </w:tc>
      </w:tr>
      <w:tr>
        <w:trPr>
          <w:trHeight w:val="432"/>
        </w:trPr>
        <w:tc>
          <w:tcPr>
            <w:tcW w:w="9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9"/>
          </w:tcPr>
          <w:p>
            <w:pPr>
              <w:jc w:val="right"/>
              <w:ind w:right="110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7"/>
              </w:rPr>
              <w:t>4.7</w:t>
            </w:r>
          </w:p>
        </w:tc>
        <w:tc>
          <w:tcPr>
            <w:tcW w:w="5900" w:type="dxa"/>
            <w:vAlign w:val="bottom"/>
            <w:gridSpan w:val="18"/>
            <w:shd w:val="clear" w:color="auto" w:fill="CCEEFF"/>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Placement Agent Warrant</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001-41094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1/6/2025</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7"/>
              </w:rPr>
              <w:t>4.8</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Pre-Funded Warrant</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12/17/2024</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7"/>
              </w:rPr>
              <w:t>4.9</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Representative Warrant</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12/17/2024</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 Senior Secured Note, dated July 26, 2024</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7/30/2024</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4.11</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Warrants.</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001-41094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4/26/2024</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Security Purchase Agreement, dated March 31, 2025</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4/1/2025</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Junior Convertible Note</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4/1/2025</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10.3 †</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Forward Purchase Agreement, dated August 25, 2023</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8/25/2023</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10.4 †</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Subscription Agreement, dated August 25, 2023</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8/25/2023</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10.5 †</w:t>
            </w:r>
          </w:p>
        </w:tc>
        <w:tc>
          <w:tcPr>
            <w:tcW w:w="58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Registration Rights Agreement, dated as of November 22, 2021, by and among</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11/29/2021</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Vahanna Tech Edge Acquisition I Corp., Vahanna LLC and Mizuho Securities</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1100" w:type="dxa"/>
            <w:vAlign w:val="bottom"/>
            <w:shd w:val="clear" w:color="auto" w:fill="CCEEFF"/>
          </w:tcPr>
          <w:p>
            <w:pPr>
              <w:spacing w:after="0"/>
              <w:rPr>
                <w:sz w:val="18"/>
                <w:szCs w:val="18"/>
                <w:color w:val="auto"/>
              </w:rPr>
            </w:pPr>
          </w:p>
        </w:tc>
        <w:tc>
          <w:tcPr>
            <w:tcW w:w="5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USA LLC</w:t>
              </w:r>
            </w:hyperlink>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10.6 †</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Lock-up Agreement</w:t>
              </w:r>
            </w:hyperlink>
          </w:p>
        </w:tc>
        <w:tc>
          <w:tcPr>
            <w:tcW w:w="11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Amendment</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333-269747</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8/14/2023</w:t>
            </w:r>
          </w:p>
        </w:tc>
      </w:tr>
      <w:tr>
        <w:trPr>
          <w:trHeight w:val="218"/>
        </w:trPr>
        <w:tc>
          <w:tcPr>
            <w:tcW w:w="1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No.4 to</w:t>
            </w:r>
          </w:p>
        </w:tc>
        <w:tc>
          <w:tcPr>
            <w:tcW w:w="1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Form S-4</w:t>
            </w: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58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Note Purchase Agreement, dated June 30, 2023, by and among Roadzen, Inc.,</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333-269747</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7/30/2023</w:t>
            </w:r>
          </w:p>
        </w:tc>
      </w:tr>
      <w:tr>
        <w:trPr>
          <w:trHeight w:val="216"/>
        </w:trPr>
        <w:tc>
          <w:tcPr>
            <w:tcW w:w="1100" w:type="dxa"/>
            <w:vAlign w:val="bottom"/>
            <w:shd w:val="clear" w:color="auto" w:fill="CCEEFF"/>
          </w:tcPr>
          <w:p>
            <w:pPr>
              <w:spacing w:after="0"/>
              <w:rPr>
                <w:sz w:val="18"/>
                <w:szCs w:val="18"/>
                <w:color w:val="auto"/>
              </w:rPr>
            </w:pPr>
          </w:p>
        </w:tc>
        <w:tc>
          <w:tcPr>
            <w:tcW w:w="5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Mizuho Securities USA LLC and other parties named thereto</w:t>
              </w:r>
            </w:hyperlink>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Indemnification Agreement.</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10.9 †</w:t>
            </w:r>
          </w:p>
        </w:tc>
        <w:tc>
          <w:tcPr>
            <w:tcW w:w="584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Roadzen Inc. 2023 Omnibus Incentive Plan. (incorporated by reference to</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Exhibit 10.8 of Roadzen Inc.’s Current Report on Form 8-K (File No. 001-</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5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40194)</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Securities and Exchange Commission on September 26,</w:t>
              </w:r>
            </w:hyperlink>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1"/>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5"/>
              </w:rPr>
            </w:pPr>
            <w:hyperlink r:id="rId146">
              <w:r>
                <w:rPr>
                  <w:rFonts w:ascii="Times New Roman" w:cs="Times New Roman" w:eastAsia="Times New Roman" w:hAnsi="Times New Roman"/>
                  <w:sz w:val="18"/>
                  <w:szCs w:val="18"/>
                  <w:color w:val="0000EE"/>
                  <w:w w:val="95"/>
                </w:rPr>
                <w:t>2023)</w:t>
              </w:r>
            </w:hyperlink>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1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10.10 †</w:t>
            </w:r>
          </w:p>
        </w:tc>
        <w:tc>
          <w:tcPr>
            <w:tcW w:w="59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Roadzen Inc. 2023 Employee Stock Purchase Plan. (incorporated by reference to</w:t>
              </w:r>
            </w:hyperlink>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001-40194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0"/>
        </w:trPr>
        <w:tc>
          <w:tcPr>
            <w:tcW w:w="1100" w:type="dxa"/>
            <w:vAlign w:val="bottom"/>
            <w:shd w:val="clear" w:color="auto" w:fill="CCEEFF"/>
          </w:tcPr>
          <w:p>
            <w:pPr>
              <w:spacing w:after="0" w:line="20" w:lineRule="exact"/>
              <w:rPr>
                <w:sz w:val="1"/>
                <w:szCs w:val="1"/>
                <w:color w:val="auto"/>
              </w:rPr>
            </w:pPr>
          </w:p>
        </w:tc>
        <w:tc>
          <w:tcPr>
            <w:tcW w:w="5840" w:type="dxa"/>
            <w:vAlign w:val="bottom"/>
            <w:gridSpan w:val="15"/>
            <w:shd w:val="clear" w:color="auto" w:fill="0000EE"/>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Exhibit 10.9 of Roadzen Inc.’s Current Report on Form 8-K (File No. 001-</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5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40194)</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Securities and Exchange Commission on September 26,</w:t>
              </w:r>
            </w:hyperlink>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2"/>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5"/>
              </w:rPr>
            </w:pPr>
            <w:hyperlink r:id="rId147">
              <w:r>
                <w:rPr>
                  <w:rFonts w:ascii="Times New Roman" w:cs="Times New Roman" w:eastAsia="Times New Roman" w:hAnsi="Times New Roman"/>
                  <w:sz w:val="18"/>
                  <w:szCs w:val="18"/>
                  <w:color w:val="0000EE"/>
                  <w:w w:val="95"/>
                </w:rPr>
                <w:t>2023)</w:t>
              </w:r>
            </w:hyperlink>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1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459"/>
        </w:trPr>
        <w:tc>
          <w:tcPr>
            <w:tcW w:w="110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14"/>
          </w:tcPr>
          <w:p>
            <w:pPr>
              <w:ind w:left="438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10.11</w:t>
            </w:r>
          </w:p>
        </w:tc>
        <w:tc>
          <w:tcPr>
            <w:tcW w:w="5800" w:type="dxa"/>
            <w:vAlign w:val="bottom"/>
            <w:tcBorders>
              <w:bottom w:val="single" w:sz="8" w:color="0000EE"/>
              <w:right w:val="single" w:sz="8" w:color="CCEEFF"/>
            </w:tcBorders>
            <w:gridSpan w:val="14"/>
            <w:shd w:val="clear" w:color="auto" w:fill="CCEEFF"/>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Termination of Engagement Letters, dated September 20, 2023, by and between</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9/26/2023</w:t>
            </w:r>
          </w:p>
        </w:tc>
      </w:tr>
      <w:tr>
        <w:trPr>
          <w:trHeight w:val="217"/>
        </w:trPr>
        <w:tc>
          <w:tcPr>
            <w:tcW w:w="1100" w:type="dxa"/>
            <w:vAlign w:val="bottom"/>
            <w:shd w:val="clear" w:color="auto" w:fill="CCEEFF"/>
          </w:tcPr>
          <w:p>
            <w:pPr>
              <w:spacing w:after="0"/>
              <w:rPr>
                <w:sz w:val="18"/>
                <w:szCs w:val="18"/>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Vahanna Tech Edge Acquisition I Corp. and Mizuho Securities USA LLC</w:t>
              </w:r>
            </w:hyperlink>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Forward Purchase Agreement Confirmation Amendment dated as of January</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2/5/2024</w:t>
            </w:r>
          </w:p>
        </w:tc>
      </w:tr>
      <w:tr>
        <w:trPr>
          <w:trHeight w:val="222"/>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30, 2024</w:t>
              </w:r>
            </w:hyperlink>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94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58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Securities Purchase Agreement, dated as of December 15, 2023, between</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1/24/2024</w:t>
            </w:r>
          </w:p>
        </w:tc>
      </w:tr>
      <w:tr>
        <w:trPr>
          <w:trHeight w:val="217"/>
        </w:trPr>
        <w:tc>
          <w:tcPr>
            <w:tcW w:w="1100" w:type="dxa"/>
            <w:vAlign w:val="bottom"/>
            <w:shd w:val="clear" w:color="auto" w:fill="CCEEFF"/>
          </w:tcPr>
          <w:p>
            <w:pPr>
              <w:spacing w:after="0"/>
              <w:rPr>
                <w:sz w:val="18"/>
                <w:szCs w:val="18"/>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Roadzen Inc. and the investors party thereto from time to time</w:t>
              </w:r>
            </w:hyperlink>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58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Letter agreement, dated as of January 19, 2024, between Roadzen Inc. and</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1/24/2024</w:t>
            </w:r>
          </w:p>
        </w:tc>
      </w:tr>
      <w:tr>
        <w:trPr>
          <w:trHeight w:val="216"/>
        </w:trPr>
        <w:tc>
          <w:tcPr>
            <w:tcW w:w="1100" w:type="dxa"/>
            <w:vAlign w:val="bottom"/>
            <w:shd w:val="clear" w:color="auto" w:fill="CCEEFF"/>
          </w:tcPr>
          <w:p>
            <w:pPr>
              <w:spacing w:after="0"/>
              <w:rPr>
                <w:sz w:val="18"/>
                <w:szCs w:val="18"/>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Supurna VedBrat.</w:t>
              </w:r>
            </w:hyperlink>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Employment Agreement dated January 4, 2024 between Roadzen Inc. and</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1/8/2024</w:t>
            </w:r>
          </w:p>
        </w:tc>
      </w:tr>
      <w:tr>
        <w:trPr>
          <w:trHeight w:val="20"/>
        </w:trPr>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CCEEFF"/>
            </w:tcBorders>
            <w:gridSpan w:val="2"/>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Jean-Noël Gallardo (incorporated by reference to Exhibit 10.1 of Roadzen</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Inc.’s Current Report on Form 8-K (File No. 001-41094), filed with the</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1100" w:type="dxa"/>
            <w:vAlign w:val="bottom"/>
            <w:shd w:val="clear" w:color="auto" w:fill="CCEEFF"/>
          </w:tcPr>
          <w:p>
            <w:pPr>
              <w:spacing w:after="0"/>
              <w:rPr>
                <w:sz w:val="18"/>
                <w:szCs w:val="18"/>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Securities and Exchange Commission on January 8, 2024).</w:t>
              </w:r>
            </w:hyperlink>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58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Securities Purchase Agreement, dated as of March 28, 2024 (incorporated by</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4/4/2024</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reference to Exhibit 10.1 of Roadzen Inc.’s Current Report on Form 8-K (File</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No. 001-41094), filed with the Securities and Exchange Commission on April</w:t>
              </w:r>
            </w:hyperlink>
          </w:p>
        </w:tc>
        <w:tc>
          <w:tcPr>
            <w:tcW w:w="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4, 2024).</w:t>
              </w:r>
            </w:hyperlink>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9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8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No. 2 to Senior Secured Note Purchase Agreement, dated as of</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3/5/2025</w:t>
            </w:r>
          </w:p>
        </w:tc>
      </w:tr>
      <w:tr>
        <w:trPr>
          <w:trHeight w:val="217"/>
        </w:trPr>
        <w:tc>
          <w:tcPr>
            <w:tcW w:w="1100" w:type="dxa"/>
            <w:vAlign w:val="bottom"/>
            <w:shd w:val="clear" w:color="auto" w:fill="CCEEFF"/>
          </w:tcPr>
          <w:p>
            <w:pPr>
              <w:spacing w:after="0"/>
              <w:rPr>
                <w:sz w:val="18"/>
                <w:szCs w:val="18"/>
                <w:color w:val="auto"/>
              </w:rPr>
            </w:pPr>
          </w:p>
        </w:tc>
        <w:tc>
          <w:tcPr>
            <w:tcW w:w="60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February 28, 2025.</w:t>
              </w:r>
            </w:hyperlink>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Placement Agency Agreement, dated January 2, 2025</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1/6/2025</w:t>
            </w: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Subscription Agreement, dated as of December 27, 2024</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1/2/2025</w:t>
            </w: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Lock-Up Agreement, dated as of December 27, 2024</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1/2/2025</w:t>
            </w: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Underwriting Agreement dated December 15, 2024 between Roadzen Inc. and</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12/17/2024</w:t>
            </w:r>
          </w:p>
        </w:tc>
      </w:tr>
      <w:tr>
        <w:trPr>
          <w:trHeight w:val="216"/>
        </w:trPr>
        <w:tc>
          <w:tcPr>
            <w:tcW w:w="110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ThinkEquity LLC.</w:t>
              </w:r>
            </w:hyperlink>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Amendment No. 1 to Restricted Stock Unit Award Grant Notice and</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11/8/2024</w:t>
            </w: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Restricted Stock Unit Award Agreement</w:t>
              </w:r>
            </w:hyperlink>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60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Lock-Up Amendment</w:t>
              </w:r>
            </w:hyperlink>
          </w:p>
        </w:tc>
        <w:tc>
          <w:tcPr>
            <w:tcW w:w="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9/27/2024</w:t>
            </w:r>
          </w:p>
        </w:tc>
      </w:tr>
      <w:tr>
        <w:trPr>
          <w:trHeight w:val="216"/>
        </w:trPr>
        <w:tc>
          <w:tcPr>
            <w:tcW w:w="1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11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40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Binding Term Sheets dated as of July 18, 2024</w:t>
              </w:r>
            </w:hyperlink>
          </w:p>
        </w:tc>
        <w:tc>
          <w:tcPr>
            <w:tcW w:w="2000" w:type="dxa"/>
            <w:vAlign w:val="bottom"/>
            <w:tcBorders>
              <w:bottom w:val="single" w:sz="8" w:color="CCEEFF"/>
            </w:tcBorders>
            <w:gridSpan w:val="7"/>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40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7/22/2024</w:t>
            </w:r>
          </w:p>
        </w:tc>
      </w:tr>
      <w:tr>
        <w:trPr>
          <w:trHeight w:val="459"/>
        </w:trPr>
        <w:tc>
          <w:tcPr>
            <w:tcW w:w="11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12"/>
          </w:tcPr>
          <w:p>
            <w:pPr>
              <w:ind w:left="4380"/>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10.25</w:t>
            </w:r>
          </w:p>
        </w:tc>
        <w:tc>
          <w:tcPr>
            <w:tcW w:w="5980" w:type="dxa"/>
            <w:vAlign w:val="bottom"/>
            <w:gridSpan w:val="23"/>
            <w:shd w:val="clear" w:color="auto" w:fill="CCEEFF"/>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Registration Rights Agreement</w:t>
              </w:r>
            </w:hyperlink>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7/30/2025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Amendment to Restricted Stock Unit Award Grant Notice and</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7/30/2025</w:t>
            </w: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Restricted Stock Unit Award Agreement</w:t>
              </w:r>
            </w:hyperlink>
          </w:p>
        </w:tc>
        <w:tc>
          <w:tcPr>
            <w:tcW w:w="2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Placement Agency Agreement, dated July 27, 2025</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7/31/2025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Securities Purchase Agreement, dated July 27, 2025</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7/31/2025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Securities Purchase Agreement, dated November 20, 2025</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11/20/2025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10.30</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Junior Convertible Note</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11/20/2025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10.31</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Placement Agency Agreement, dated November 20, 2025</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11/20/2025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10.32</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Securities Purchase Agreement, dated January 19, 2026</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1/20/2026</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10.33</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Junior Convertible Note, dated January 20, 2026</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1/20/2026</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10.34</w:t>
            </w:r>
          </w:p>
        </w:tc>
        <w:tc>
          <w:tcPr>
            <w:tcW w:w="57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Amendment to Securities Purchase Agreement and Junior Convertible Note,</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8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1/20/2026</w:t>
            </w:r>
          </w:p>
        </w:tc>
      </w:tr>
      <w:tr>
        <w:trPr>
          <w:trHeight w:val="217"/>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dated January 20, 2026</w:t>
              </w:r>
            </w:hyperlink>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10.35</w:t>
            </w:r>
          </w:p>
        </w:tc>
        <w:tc>
          <w:tcPr>
            <w:tcW w:w="57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Second Amendment to Securities Purchase Agreement and Junior Convertible</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2/26/2026</w:t>
            </w:r>
          </w:p>
        </w:tc>
      </w:tr>
      <w:tr>
        <w:trPr>
          <w:trHeight w:val="217"/>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Note, dated February 25, 2026</w:t>
              </w:r>
            </w:hyperlink>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57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No. 4 to Senior Secured Note Purchase Agreement, dated as of</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17"/>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February 28, 2025.</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57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Fee Letter, dated June 26, 2026, between Roadzen Inc. and Mizuho Securities</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16"/>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USA LLC.</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Code of Business Conduct</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Insider Trading Policy</w:t>
              </w:r>
            </w:hyperlink>
          </w:p>
        </w:tc>
        <w:tc>
          <w:tcPr>
            <w:tcW w:w="92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6/26/2025</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List of Subsidiaries.</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9/26/2023</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5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ASA &amp; Associates LLP</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31.1*</w:t>
            </w:r>
          </w:p>
        </w:tc>
        <w:tc>
          <w:tcPr>
            <w:tcW w:w="57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5760" w:type="dxa"/>
            <w:vAlign w:val="bottom"/>
            <w:tcBorders>
              <w:bottom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15d-14(a) under the Securities Exchange Act of 1934, as Adopted Pursuant to</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7"/>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5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w:t>
            </w:r>
          </w:p>
        </w:tc>
        <w:tc>
          <w:tcPr>
            <w:tcW w:w="9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5760" w:type="dxa"/>
            <w:vAlign w:val="bottom"/>
            <w:tcBorders>
              <w:top w:val="single" w:sz="8" w:color="0000EE"/>
              <w:bottom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15d-14(a) under the Securities Exchange Act of 1934, as Adopted Pursuant to</w:t>
            </w: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7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100" w:type="dxa"/>
            <w:vAlign w:val="bottom"/>
            <w:shd w:val="clear" w:color="auto" w:fill="CCEEFF"/>
          </w:tcPr>
          <w:p>
            <w:pPr>
              <w:spacing w:after="0"/>
              <w:rPr>
                <w:sz w:val="17"/>
                <w:szCs w:val="17"/>
                <w:color w:val="auto"/>
              </w:rPr>
            </w:pPr>
          </w:p>
        </w:tc>
        <w:tc>
          <w:tcPr>
            <w:tcW w:w="59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 Pursuant to Section 906 of the</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59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Clawback Policy</w:t>
              </w:r>
            </w:hyperlink>
          </w:p>
        </w:tc>
        <w:tc>
          <w:tcPr>
            <w:tcW w:w="92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0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001-41094</w:t>
            </w:r>
          </w:p>
        </w:tc>
        <w:tc>
          <w:tcPr>
            <w:tcW w:w="7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7/1/2024</w:t>
            </w:r>
          </w:p>
        </w:tc>
      </w:tr>
      <w:tr>
        <w:trPr>
          <w:trHeight w:val="216"/>
        </w:trPr>
        <w:tc>
          <w:tcPr>
            <w:tcW w:w="110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8"/>
        </w:trPr>
        <w:tc>
          <w:tcPr>
            <w:tcW w:w="110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980" w:type="dxa"/>
            <w:vAlign w:val="bottom"/>
            <w:gridSpan w:val="2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18"/>
                <w:szCs w:val="18"/>
                <w:color w:val="auto"/>
              </w:rPr>
            </w:pPr>
          </w:p>
        </w:tc>
        <w:tc>
          <w:tcPr>
            <w:tcW w:w="59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p>
        </w:tc>
        <w:tc>
          <w:tcPr>
            <w:tcW w:w="59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110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2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100" w:type="dxa"/>
            <w:vAlign w:val="bottom"/>
            <w:shd w:val="clear" w:color="auto" w:fill="CCEEFF"/>
          </w:tcPr>
          <w:p>
            <w:pPr>
              <w:spacing w:after="0"/>
              <w:rPr>
                <w:sz w:val="20"/>
                <w:szCs w:val="20"/>
                <w:color w:val="auto"/>
              </w:rPr>
            </w:pPr>
          </w:p>
        </w:tc>
        <w:tc>
          <w:tcPr>
            <w:tcW w:w="59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Documents</w:t>
            </w:r>
          </w:p>
        </w:tc>
        <w:tc>
          <w:tcPr>
            <w:tcW w:w="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110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104*</w:t>
            </w:r>
          </w:p>
        </w:tc>
        <w:tc>
          <w:tcPr>
            <w:tcW w:w="5980" w:type="dxa"/>
            <w:vAlign w:val="bottom"/>
            <w:gridSpan w:val="2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100" w:type="dxa"/>
            <w:vAlign w:val="bottom"/>
            <w:shd w:val="clear" w:color="auto" w:fill="CCEEFF"/>
          </w:tcPr>
          <w:p>
            <w:pPr>
              <w:spacing w:after="0"/>
              <w:rPr>
                <w:sz w:val="20"/>
                <w:szCs w:val="20"/>
                <w:color w:val="auto"/>
              </w:rPr>
            </w:pPr>
          </w:p>
        </w:tc>
        <w:tc>
          <w:tcPr>
            <w:tcW w:w="59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40" w:type="dxa"/>
            <w:vAlign w:val="bottom"/>
            <w:gridSpan w:val="5"/>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w:t>
            </w:r>
          </w:p>
        </w:tc>
        <w:tc>
          <w:tcPr>
            <w:tcW w:w="24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96"/>
        </w:trPr>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3083)</w:t>
            </w:r>
          </w:p>
        </w:tc>
        <w:tc>
          <w:tcPr>
            <w:tcW w:w="248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Financial Statements (Audited):</w:t>
            </w:r>
          </w:p>
        </w:tc>
        <w:tc>
          <w:tcPr>
            <w:tcW w:w="4540" w:type="dxa"/>
            <w:vAlign w:val="bottom"/>
            <w:tcBorders>
              <w:top w:val="single" w:sz="8" w:color="CCEEFF"/>
            </w:tcBorders>
            <w:gridSpan w:val="5"/>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 as of March 31, 2026 and March 31, 2025</w:t>
            </w:r>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180" w:type="dxa"/>
            <w:vAlign w:val="bottom"/>
          </w:tcPr>
          <w:p>
            <w:pPr>
              <w:spacing w:after="0"/>
              <w:rPr>
                <w:sz w:val="15"/>
                <w:szCs w:val="15"/>
                <w:color w:val="auto"/>
              </w:rPr>
            </w:pPr>
          </w:p>
        </w:tc>
        <w:tc>
          <w:tcPr>
            <w:tcW w:w="8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March 31, 2026 and 2025</w:t>
            </w:r>
          </w:p>
        </w:tc>
        <w:tc>
          <w:tcPr>
            <w:tcW w:w="2480" w:type="dxa"/>
            <w:vAlign w:val="bottom"/>
          </w:tcPr>
          <w:p>
            <w:pPr>
              <w:ind w:left="20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80" w:type="dxa"/>
            <w:vAlign w:val="bottom"/>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March 31, 2026 and 2025</w:t>
            </w:r>
          </w:p>
        </w:tc>
        <w:tc>
          <w:tcPr>
            <w:tcW w:w="248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80" w:type="dxa"/>
            <w:vAlign w:val="bottom"/>
            <w:tcBorders>
              <w:top w:val="single" w:sz="8" w:color="CCEEFF"/>
            </w:tcBorders>
          </w:tcPr>
          <w:p>
            <w:pPr>
              <w:spacing w:after="0"/>
              <w:rPr>
                <w:sz w:val="15"/>
                <w:szCs w:val="15"/>
                <w:color w:val="auto"/>
              </w:rPr>
            </w:pPr>
          </w:p>
        </w:tc>
        <w:tc>
          <w:tcPr>
            <w:tcW w:w="6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246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ind w:left="20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 (Deficit)</w:t>
            </w:r>
          </w:p>
        </w:tc>
        <w:tc>
          <w:tcPr>
            <w:tcW w:w="248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5"/>
        </w:trPr>
        <w:tc>
          <w:tcPr>
            <w:tcW w:w="180" w:type="dxa"/>
            <w:vAlign w:val="bottom"/>
            <w:tcBorders>
              <w:top w:val="single" w:sz="8" w:color="CCEEFF"/>
            </w:tcBorders>
          </w:tcPr>
          <w:p>
            <w:pPr>
              <w:spacing w:after="0"/>
              <w:rPr>
                <w:sz w:val="15"/>
                <w:szCs w:val="15"/>
                <w:color w:val="auto"/>
              </w:rPr>
            </w:pPr>
          </w:p>
        </w:tc>
        <w:tc>
          <w:tcPr>
            <w:tcW w:w="51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420" w:type="dxa"/>
            <w:vAlign w:val="bottom"/>
            <w:tcBorders>
              <w:top w:val="single" w:sz="8" w:color="CCEEFF"/>
            </w:tcBorders>
            <w:gridSpan w:val="3"/>
          </w:tcPr>
          <w:p>
            <w:pPr>
              <w:spacing w:after="0"/>
              <w:rPr>
                <w:sz w:val="15"/>
                <w:szCs w:val="15"/>
                <w:color w:val="auto"/>
              </w:rPr>
            </w:pPr>
          </w:p>
        </w:tc>
        <w:tc>
          <w:tcPr>
            <w:tcW w:w="2480" w:type="dxa"/>
            <w:vAlign w:val="bottom"/>
            <w:tcBorders>
              <w:top w:val="single" w:sz="8" w:color="CCEEFF"/>
            </w:tcBorders>
          </w:tcPr>
          <w:p>
            <w:pPr>
              <w:ind w:left="204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453"/>
        </w:trPr>
        <w:tc>
          <w:tcPr>
            <w:tcW w:w="180" w:type="dxa"/>
            <w:vAlign w:val="bottom"/>
            <w:tcBorders>
              <w:bottom w:val="single" w:sz="8" w:color="auto"/>
            </w:tcBorders>
          </w:tcPr>
          <w:p>
            <w:pPr>
              <w:spacing w:after="0"/>
              <w:rPr>
                <w:sz w:val="24"/>
                <w:szCs w:val="24"/>
                <w:color w:val="auto"/>
              </w:rPr>
            </w:pPr>
          </w:p>
        </w:tc>
        <w:tc>
          <w:tcPr>
            <w:tcW w:w="34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center"/>
              <w:ind w:right="2860"/>
              <w:spacing w:after="0"/>
              <w:rPr>
                <w:sz w:val="20"/>
                <w:szCs w:val="20"/>
                <w:color w:val="auto"/>
              </w:rPr>
            </w:pPr>
            <w:r>
              <w:rPr>
                <w:rFonts w:ascii="Times New Roman" w:cs="Times New Roman" w:eastAsia="Times New Roman" w:hAnsi="Times New Roman"/>
                <w:sz w:val="18"/>
                <w:szCs w:val="18"/>
                <w:color w:val="auto"/>
                <w:w w:val="95"/>
              </w:rPr>
              <w:t>F-1</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3" w:name="page114"/>
    <w:bookmarkEnd w:id="11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Roadzen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Roadzen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its subsidiaries (collectively known as the “Company”) as of March 31, 2026 and 2025, the related consolidated statements of operations, consolidated statement of comprehensive loss, consolidated statement of shareholders’ equity/deficit and consolidated statement of cash flow for each of the two years ended March 31, 2026 and 2025, and the related notes (collectively referred as the “consolidated financial statements”). In our opinion, the consolidated financial statements present fairly, in all material respects, the financial position of the Company as of March 31, 2026 and 2025, and the results of its operations and its cash flows for each of the two years ended March 31, 2026 and 2025,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2(b) of the consolidated financial statements, the Company has experienced operating losses in current and preceding periods. These conditions, among others, raised substantial doubt about the Company’s ability to continue as a going concern. Management’s plans on alleviation of doubt on going concern are also described in Note 2(b).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and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from material misstatements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misstatements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ASA &amp; Associates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Delhi, 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ind w:left="5120"/>
              <w:spacing w:after="0"/>
              <w:rPr>
                <w:sz w:val="20"/>
                <w:szCs w:val="20"/>
                <w:color w:val="auto"/>
              </w:rPr>
            </w:pPr>
            <w:r>
              <w:rPr>
                <w:rFonts w:ascii="Times New Roman" w:cs="Times New Roman" w:eastAsia="Times New Roman" w:hAnsi="Times New Roman"/>
                <w:sz w:val="18"/>
                <w:szCs w:val="18"/>
                <w:b w:val="1"/>
                <w:bCs w:val="1"/>
                <w:color w:val="auto"/>
              </w:rPr>
              <w:t>Roadzen Inc.</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gridSpan w:val="2"/>
          </w:tcPr>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7440" w:type="dxa"/>
            <w:vAlign w:val="bottom"/>
            <w:gridSpan w:val="2"/>
          </w:tcPr>
          <w:p>
            <w:pPr>
              <w:ind w:left="4520"/>
              <w:spacing w:after="0"/>
              <w:rPr>
                <w:sz w:val="20"/>
                <w:szCs w:val="20"/>
                <w:color w:val="auto"/>
              </w:rPr>
            </w:pPr>
            <w:r>
              <w:rPr>
                <w:rFonts w:ascii="Times New Roman" w:cs="Times New Roman" w:eastAsia="Times New Roman" w:hAnsi="Times New Roman"/>
                <w:sz w:val="18"/>
                <w:szCs w:val="18"/>
                <w:b w:val="1"/>
                <w:bCs w:val="1"/>
                <w:color w:val="auto"/>
              </w:rPr>
              <w:t>(in US $, except share count)</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44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6,578,594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4,836,576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7,500,439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2,625,385</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116,555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202,535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17,833,119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19,092,595</w:t>
            </w:r>
          </w:p>
        </w:tc>
        <w:tc>
          <w:tcPr>
            <w:tcW w:w="80" w:type="dxa"/>
            <w:vAlign w:val="bottom"/>
          </w:tcPr>
          <w:p>
            <w:pPr>
              <w:spacing w:after="0"/>
              <w:rPr>
                <w:sz w:val="18"/>
                <w:szCs w:val="18"/>
                <w:color w:val="auto"/>
              </w:rPr>
            </w:pPr>
          </w:p>
        </w:tc>
      </w:tr>
      <w:tr>
        <w:trPr>
          <w:trHeight w:val="229"/>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229,994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197,805</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32,258,701</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26,954,896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assets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222,026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217,064</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marketable securities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269,470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536,997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602,923</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7,616,973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2,061,553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1,374,147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1,109,219</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9,651,915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1,243,253</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997,802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120,972</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20,399,860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5,624,454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52,658,561</w:t>
            </w:r>
          </w:p>
        </w:tc>
        <w:tc>
          <w:tcPr>
            <w:tcW w:w="3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32,579,350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Equity/(Deficit)</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9,829,713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2,904,444</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7,843,267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19,865,645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30,245,947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30,254,010</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1,987,003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1,489,818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325,255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318,921</w:t>
            </w:r>
          </w:p>
        </w:tc>
        <w:tc>
          <w:tcPr>
            <w:tcW w:w="80" w:type="dxa"/>
            <w:vAlign w:val="bottom"/>
          </w:tcPr>
          <w:p>
            <w:pPr>
              <w:spacing w:after="0"/>
              <w:rPr>
                <w:sz w:val="18"/>
                <w:szCs w:val="18"/>
                <w:color w:val="auto"/>
              </w:rPr>
            </w:pPr>
          </w:p>
        </w:tc>
      </w:tr>
      <w:tr>
        <w:trPr>
          <w:trHeight w:val="23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8,072,789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2,102,466</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58,303,974</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56,935,304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liabilities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15,612,108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139,775</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699,817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628,400</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4,561,246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566,651</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20,873,171</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1,334,826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79,177,145</w:t>
            </w: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58,270,130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note 22)</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and additional paid in capital, $0.0001 par value per share, 220,000,000 shares</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of March 31, 2026 and March 31, 2025; 79,695,672 and 74,290,986 shares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March 31, 2025 respectively</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112,128,293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95,501,291</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(246,224,660)</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(223,826,442)</w:t>
            </w: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(1,299,868)</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(468,859)</w:t>
            </w:r>
          </w:p>
        </w:tc>
      </w:tr>
      <w:tr>
        <w:trPr>
          <w:trHeight w:val="229"/>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components of equity</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105,747,998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103,720,113</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(29,648,237)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(25,073,897)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3,129,653</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(616,883)</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(26,518,584)</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(25,690,780)</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Total Deficit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52,658,561</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32,579,350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Roadzen Inc.</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(in US $, except share count)</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55,021,792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44,296,098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21,277,579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18,833,218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408,355</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3,779,955</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29,111,662</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28,873,150</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15,976,982</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51,602,107</w:t>
            </w: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2,244,268</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2,020,610</w:t>
            </w:r>
          </w:p>
        </w:tc>
      </w:tr>
      <w:tr>
        <w:trPr>
          <w:trHeight w:val="209"/>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69,018,846</w:t>
            </w:r>
          </w:p>
        </w:tc>
        <w:tc>
          <w:tcPr>
            <w:tcW w:w="3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105,109,040</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(13,997,054)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(60,812,942)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(7,249,803)</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(3,247,831)</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174,248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gains/(losses) in financial instruments carried at fair value</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(3,984,386)</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(14,844,420)</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(269,470)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(1,245,326)</w:t>
            </w: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2,329,515</w:t>
            </w:r>
          </w:p>
        </w:tc>
        <w:tc>
          <w:tcPr>
            <w:tcW w:w="6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7,073,235</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(8,999,896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(12,264,342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 expense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(22,996,950)</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(73,077,284)</w:t>
            </w:r>
          </w:p>
        </w:tc>
        <w:tc>
          <w:tcPr>
            <w:tcW w:w="100" w:type="dxa"/>
            <w:vAlign w:val="bottom"/>
          </w:tcPr>
          <w:p>
            <w:pPr>
              <w:spacing w:after="0"/>
              <w:rPr>
                <w:sz w:val="18"/>
                <w:szCs w:val="18"/>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(benefit)/expense</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20,212</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(loss)/income before non-controlling interest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(23,017,162)</w:t>
            </w:r>
          </w:p>
        </w:tc>
        <w:tc>
          <w:tcPr>
            <w:tcW w:w="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(73,063,311)</w:t>
            </w:r>
          </w:p>
        </w:tc>
        <w:tc>
          <w:tcPr>
            <w:tcW w:w="100" w:type="dxa"/>
            <w:vAlign w:val="bottom"/>
          </w:tcPr>
          <w:p>
            <w:pPr>
              <w:spacing w:after="0"/>
              <w:rPr>
                <w:sz w:val="18"/>
                <w:szCs w:val="18"/>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net of tax</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(500,940)</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(192,879)</w:t>
            </w:r>
          </w:p>
        </w:tc>
      </w:tr>
      <w:tr>
        <w:trPr>
          <w:trHeight w:val="263"/>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(22,516,222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(72,870,432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7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Ordinary shareholders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77,454,509</w:t>
            </w:r>
          </w:p>
        </w:tc>
        <w:tc>
          <w:tcPr>
            <w:tcW w:w="60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69,867,792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Roadzen Inc.</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4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(in US $, except share count)</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(22,516,222)</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(72,870,432)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2,244,268</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2,020,610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497,806</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47,211,816</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(14,303)</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(193,261)</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loss/(profit)</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(831,009)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132,121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over liability settled/expense through issuance of equity shares</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(64,875)</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losses/(profits) in financial instruments carried at fair value</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3,984,386</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14,844,420</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investment</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269,470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1,245,326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 (net of reversal)</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2,654,182</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246,115</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written off</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82,032</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written off/(back)</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(1,545,749)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(8,143,051)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extinguishment of intercompany financial assets and liabilities</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(482,689)</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 net of tax</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(500,940)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(192,879)</w:t>
            </w:r>
          </w:p>
        </w:tc>
        <w:tc>
          <w:tcPr>
            <w:tcW w:w="0" w:type="dxa"/>
            <w:vAlign w:val="bottom"/>
          </w:tcPr>
          <w:p>
            <w:pPr>
              <w:spacing w:after="0"/>
              <w:rPr>
                <w:sz w:val="1"/>
                <w:szCs w:val="1"/>
                <w:color w:val="auto"/>
              </w:rPr>
            </w:pPr>
          </w:p>
        </w:tc>
      </w:tr>
      <w:tr>
        <w:trPr>
          <w:trHeight w:val="194"/>
        </w:trPr>
        <w:tc>
          <w:tcPr>
            <w:tcW w:w="74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Changes in assets and liabilities, net of assets acquired and liabilities assumed from</w:t>
            </w: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85,980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(131,868)</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(4,776,282)</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780,880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(3,159,457)</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(4,822,952)</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225,169</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2,833,077</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3,576,831</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(1,102,120)</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(20,271,401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(18,142,198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and intangible assets</w:t>
            </w: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(1,009,660)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mutual fund</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112,847</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309,289</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issue of Ordinary Shares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6,519,429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7,073,913</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issue of equity shares of subsidiary</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6,645,789</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proceeds/(payments) from borrowings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8,279,523</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3,669,290</w:t>
            </w:r>
          </w:p>
        </w:tc>
        <w:tc>
          <w:tcPr>
            <w:tcW w:w="0" w:type="dxa"/>
            <w:vAlign w:val="bottom"/>
          </w:tcPr>
          <w:p>
            <w:pPr>
              <w:spacing w:after="0"/>
              <w:rPr>
                <w:sz w:val="1"/>
                <w:szCs w:val="1"/>
                <w:color w:val="auto"/>
              </w:rPr>
            </w:pPr>
          </w:p>
        </w:tc>
      </w:tr>
      <w:tr>
        <w:trPr>
          <w:trHeight w:val="23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forward purchase agreement</w:t>
            </w:r>
          </w:p>
        </w:tc>
        <w:tc>
          <w:tcPr>
            <w:tcW w:w="26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21,444,741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11,743,203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 (including restricted cash)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276,527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in business combination</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1,470,453</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 (including restricted cash)</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5,053,640</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11,565,088</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 (including restricted cash)</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6,800,620</w:t>
            </w:r>
          </w:p>
        </w:tc>
        <w:tc>
          <w:tcPr>
            <w:tcW w:w="6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5,053,640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6,578,594</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4,836,576</w:t>
            </w:r>
          </w:p>
        </w:tc>
        <w:tc>
          <w:tcPr>
            <w:tcW w:w="0" w:type="dxa"/>
            <w:vAlign w:val="bottom"/>
          </w:tcPr>
          <w:p>
            <w:pPr>
              <w:spacing w:after="0"/>
              <w:rPr>
                <w:sz w:val="1"/>
                <w:szCs w:val="1"/>
                <w:color w:val="auto"/>
              </w:rPr>
            </w:pP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222,026</w:t>
            </w:r>
          </w:p>
        </w:tc>
        <w:tc>
          <w:tcPr>
            <w:tcW w:w="6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217,064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6,800,620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5,053,640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2,742,101</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1,318,139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payable in connection with acquisitions</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6,407,380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8,376,253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accrued on borrowings</w:t>
            </w: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3,659,399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2,123,633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5"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43" w:lineRule="exact"/>
        <w:rPr>
          <w:sz w:val="20"/>
          <w:szCs w:val="20"/>
          <w:color w:val="auto"/>
        </w:rPr>
      </w:pPr>
    </w:p>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foreign currency translation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changes in foreign currency translation reserve attributable to non-controlling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attributable to Roadzen Inc.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Roadzen Inc. ordinary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34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3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(22,516,222)</w:t>
            </w: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(72,870,432)</w:t>
            </w:r>
          </w:p>
        </w:tc>
        <w:tc>
          <w:tcPr>
            <w:tcW w:w="60" w:type="dxa"/>
            <w:vAlign w:val="bottom"/>
            <w:gridSpan w:val="3"/>
          </w:tcPr>
          <w:p>
            <w:pPr>
              <w:spacing w:after="0"/>
              <w:rPr>
                <w:sz w:val="16"/>
                <w:szCs w:val="16"/>
                <w:color w:val="auto"/>
              </w:rPr>
            </w:pPr>
          </w:p>
        </w:tc>
      </w:tr>
      <w:tr>
        <w:trPr>
          <w:trHeight w:val="216"/>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(965,102)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(134,093)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(831,009)</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131,642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3"/>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(23,347,231)</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(72,738,790)</w:t>
            </w:r>
          </w:p>
        </w:tc>
      </w:tr>
      <w:tr>
        <w:trPr>
          <w:trHeight w:val="20"/>
        </w:trPr>
        <w:tc>
          <w:tcPr>
            <w:tcW w:w="1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-25400</wp:posOffset>
            </wp:positionV>
            <wp:extent cx="10801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-8255</wp:posOffset>
            </wp:positionV>
            <wp:extent cx="10801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500" w:space="600"/>
            <w:col w:w="3100"/>
          </w:cols>
          <w:pgMar w:left="320" w:top="684"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Ordinary shares and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Debenture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to</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177"/>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80"/>
              <w:spacing w:after="0" w:line="177" w:lineRule="exact"/>
              <w:rPr>
                <w:sz w:val="20"/>
                <w:szCs w:val="20"/>
                <w:color w:val="auto"/>
              </w:rPr>
            </w:pPr>
            <w:r>
              <w:rPr>
                <w:rFonts w:ascii="Times New Roman" w:cs="Times New Roman" w:eastAsia="Times New Roman" w:hAnsi="Times New Roman"/>
                <w:sz w:val="18"/>
                <w:szCs w:val="18"/>
                <w:b w:val="1"/>
                <w:bCs w:val="1"/>
                <w:color w:val="auto"/>
                <w:w w:val="99"/>
              </w:rPr>
              <w:t>be</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5"/>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0"/>
              </w:rPr>
              <w:t>issued</w:t>
            </w:r>
            <w:r>
              <w:rPr>
                <w:rFonts w:ascii="Times New Roman" w:cs="Times New Roman" w:eastAsia="Times New Roman" w:hAnsi="Times New Roman"/>
                <w:sz w:val="29"/>
                <w:szCs w:val="29"/>
                <w:b w:val="1"/>
                <w:bCs w:val="1"/>
                <w:color w:val="auto"/>
                <w:w w:val="90"/>
                <w:vertAlign w:val="superscript"/>
              </w:rPr>
              <w:t>(ii)</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187"/>
        </w:trPr>
        <w:tc>
          <w:tcPr>
            <w:tcW w:w="196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April 1,</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68,440,829</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84,974,378</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(151,008,419)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257,571</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56,303,135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(600,501)</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(10,073,836)</w:t>
            </w:r>
          </w:p>
        </w:tc>
      </w:tr>
      <w:tr>
        <w:trPr>
          <w:trHeight w:val="178"/>
        </w:trPr>
        <w:tc>
          <w:tcPr>
            <w:tcW w:w="20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Issuance of ordinary</w:t>
            </w: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during the period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through conversion of</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892,857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during the period</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conversion of loan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335,000</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938,000</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938,000</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(72,870,432)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(72,870,432)</w:t>
            </w: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131,642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131,642</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Movement attributable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47,211,816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47,211,816</w:t>
            </w: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issuance/repayment of</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debenture</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52,409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(52,409)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4,622,300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7,088,913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7,088,913</w:t>
            </w:r>
          </w:p>
        </w:tc>
      </w:tr>
      <w:tr>
        <w:trPr>
          <w:trHeight w:val="194"/>
        </w:trPr>
        <w:tc>
          <w:tcPr>
            <w:tcW w:w="20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March 31,</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74,290,986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95,501,291</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(223,826,442)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205,162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103,514,951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(468,859)</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(25,073,897)</w:t>
            </w:r>
          </w:p>
        </w:tc>
      </w:tr>
      <w:tr>
        <w:trPr>
          <w:trHeight w:val="178"/>
        </w:trPr>
        <w:tc>
          <w:tcPr>
            <w:tcW w:w="20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Issuance of ordinary</w:t>
            </w: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during the period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through PIPE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5,206,590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6,519,429</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6,519,429</w:t>
            </w: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Transactions with non-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2"/>
        </w:trPr>
        <w:tc>
          <w:tcPr>
            <w:tcW w:w="2060" w:type="dxa"/>
            <w:vAlign w:val="bottom"/>
            <w:gridSpan w:val="2"/>
            <w:shd w:val="clear" w:color="auto" w:fill="CCEEFF"/>
          </w:tcPr>
          <w:p>
            <w:pPr>
              <w:spacing w:after="0" w:line="302"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34"/>
                <w:szCs w:val="34"/>
                <w:color w:val="auto"/>
                <w:vertAlign w:val="superscript"/>
              </w:rPr>
              <w:t>i)</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9,512,858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9,512,858</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(22,516,222)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(22,516,222)</w:t>
            </w: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issuable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stock compensation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settlement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arrangements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198,096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594,715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2,022,083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2,242,798</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debenture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118,004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(118,004)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(831,009)</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(831,009)</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Movement attributable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497,806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497,806</w:t>
            </w:r>
          </w:p>
        </w:tc>
      </w:tr>
      <w:tr>
        <w:trPr>
          <w:trHeight w:val="194"/>
        </w:trPr>
        <w:tc>
          <w:tcPr>
            <w:tcW w:w="20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March 31,</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79,695,672</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112,128,293</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(246,224,660)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2,022,083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87,158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103,638,757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(1,299,868)</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(29,648,237)</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hanging="169"/>
        <w:spacing w:after="0" w:line="284" w:lineRule="auto"/>
        <w:rPr>
          <w:sz w:val="20"/>
          <w:szCs w:val="20"/>
          <w:color w:val="auto"/>
        </w:rPr>
      </w:pPr>
      <w:r>
        <w:rPr>
          <w:rFonts w:ascii="Times New Roman" w:cs="Times New Roman" w:eastAsia="Times New Roman" w:hAnsi="Times New Roman"/>
          <w:sz w:val="18"/>
          <w:szCs w:val="18"/>
          <w:i w:val="1"/>
          <w:iCs w:val="1"/>
          <w:color w:val="auto"/>
        </w:rPr>
        <w:t>(i)Represents the premium arising on issue of shares by a subsidiary to non-controlling interest holders, being the excess of consideration received over the fair value of the net assets attributable to the shares so issued.</w:t>
      </w:r>
    </w:p>
    <w:p>
      <w:pPr>
        <w:spacing w:after="0" w:line="266" w:lineRule="exact"/>
        <w:rPr>
          <w:sz w:val="20"/>
          <w:szCs w:val="20"/>
          <w:color w:val="auto"/>
        </w:rPr>
      </w:pPr>
    </w:p>
    <w:p>
      <w:pPr>
        <w:ind w:left="280" w:hanging="219"/>
        <w:spacing w:after="0" w:line="284" w:lineRule="auto"/>
        <w:rPr>
          <w:sz w:val="20"/>
          <w:szCs w:val="20"/>
          <w:color w:val="auto"/>
        </w:rPr>
      </w:pPr>
      <w:r>
        <w:rPr>
          <w:rFonts w:ascii="Times New Roman" w:cs="Times New Roman" w:eastAsia="Times New Roman" w:hAnsi="Times New Roman"/>
          <w:sz w:val="18"/>
          <w:szCs w:val="18"/>
          <w:i w:val="1"/>
          <w:iCs w:val="1"/>
          <w:color w:val="auto"/>
        </w:rPr>
        <w:t>(ii)Represents shares pending issuance to (a) directors of the Company in settlement of legacy compensation liabilities, and (b) an employee of one of the subsidiaries.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Reorganization and description of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Roadzen Inc., a British Virgin Islands business company (the “Parent Company”, formerly known as Vahanna Tech Edge Acquisition I Corp; and sometimes referred to in this filing as “Vahanna”) has subsidiaries located in India, the United States, the United Kingdom, the Republic of Ireland and the People’s Republic of China. The Company is a leading Insurtech platform and provides solutions in relation to insurance products, including distribution, pre-inspection assistance, telematics, claims submission and administration, and roadside assistance.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20, 2023 (the “Closing Date”), Vahanna, Roadzen, Inc., a Delaware corporation (“Roadzen (DE)”), and Vahanna Merger Sub Corp., a Delaware corporation and a direct, wholly owned subsidiary of Vahanna (“Merger Sub”), consummated the Business Combination (as defined below) pursuant to the Agreement and Plan of Merger, dated February 10, 2023, by and among Vahanna, Roadzen (DE) and Merger Sub, as amended by the First Amendment to the Agreement and Plan of Merger, dated June 29, 2023 (as so amended, the “Merger Agreement”). Pursuant to the terms of the Merger Agreement, Merger Sub merged with and into Roadzen (DE), with Roadzen (DE) surviving the merger as a wholly owned subsidiary of Vahanna (the “Merger,” and together with the other transactions contemplated by the Merger Agreement and the other agreements contemplated thereby, the “Business Combination”).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Roadzen Inc. and its subsidiaries (collectively, “Roadzen” or the “Company”).</w:t>
      </w:r>
    </w:p>
    <w:p>
      <w:pPr>
        <w:spacing w:after="0" w:line="221" w:lineRule="exact"/>
        <w:rPr>
          <w:sz w:val="20"/>
          <w:szCs w:val="20"/>
          <w:color w:val="auto"/>
        </w:rPr>
      </w:pPr>
    </w:p>
    <w:p>
      <w:pPr>
        <w:ind w:right="7760" w:firstLine="8"/>
        <w:spacing w:after="0" w:line="532" w:lineRule="auto"/>
        <w:tabs>
          <w:tab w:leader="none" w:pos="18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a) Basis of presentation and consolidation</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the rules and regulations of the Securities and Exchange Commission (the “SEC”) and reflect our accounts and operations and those of our subsidiaries in which we have a controlling financial interest. The accompanying consolidated financial statements reflect all adjustments that management considers necessary for a fair presentation of the results of operations for the periods presented.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intercompany balances and transactions have been eliminated upon consolidation. When the Company does not have a controlling interest in an investee but exerts significant influence over the investee, the Company applies the equity method of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going concern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operating losses in current and preceding periods. As of March 31, 2026 and 2025, the Company also has negative operating cash flows and negative working capital position. These events, among others, raise substantial doubt over the Company’s ability to continue as a going concern for a reasonable period of time. The Company expects to have ongoing requirements for capital investment to implement its business plans to achieve revenue growth forecast, control operating costs, and meet cash flow requirements. The Company’s ability to continue as a going concern is dependent upon, among other things, the Company’s mitigation plan to (i) raise additional funds from existing or new credit facilities, (ii) receive funds by raising additional share capital and/or (iii) re-structure existing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undertaken multiple initiatives to achieve these goals, including agreeing to convert certain liabilities into equity and working to restructure and convert other current liabilities into equity or long-term notes, including the recently executed amendment to extend its senior secured facility into long-term debt. The Company has also filed a shelf registration statement on Form S-3 with the SEC, under which it sold equity, raising gross proceeds of $7,999,979 in May 2026, and is pursuing additional potential financing opportunities. The Company’s plans may change as a result of many factors currently unknown.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progress made to date – demonstrated by completed transactions, advanced negotiations, and investor commitments – management believes it has formulated and is executing a viable plan to obtain sufficient liquidity to meet obligations as they fall due over the next 12 months. As a result, management expects to alleviate the substantial doubt regarding the Company’s ability to continue as a going concern.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relating to the recovery of the recorded assets or the classification of the liabilities that might be necessary if the Company is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which affect the reported amounts in the consolidated financial statements and accompanying notes. Estimates are based on historical experience, where applicable, and other assumptions which management believes are reasonable under the circumstances. On an ongoing basis, the Company evaluates its estimates and underlying assumptions, including those related to the allowance for accounts receivables, fair values of financial instruments, measurement of defined benefit obligations, impairment of non-financial assets, useful lives of property, plant and equipment and intangible assets, income taxes, certain deferred tax assets and tax liabilities, and other contingent liabilities. Although these estimates are inherently subject to judgment and actual results could differ from those estimates, management believes that the estimates used in the preparation of the consolidated financial statements are reasonable.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period in which the estimates are revised and in any future periods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Contract asset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contract asset (unbilled revenue) is the right to receive consideration in exchange for goods or services transferred to the customer. When the Company satisfies its performance obligation by transferring goods or services to a customer before the customer pays consideration, or before payment becomes due, a contract asset is recognized for the earned consideration.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paid by the Company’s customers for which the associated performance obligations have not been satisfied and revenue has not been recognized based on the Company’s revenue recognition criteria described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classified as current in the consolidated balance sheet when the revenue recognition associated with the related customer payments and invoicing is expected to occur within one year of the balance sheet date and as long-term when the revenue recognition associated with the related customer payments and invoicing is expected to occur in more than one year from the balance sheet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represent cash balances in current bank accounts. The Company considers all short-term deposits with an original maturity of three months or less, when purchased,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Restricted 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and cash equivalents are pledged as security for contractual arrangements. Restricted cash and cash equivalents are classified as current and noncurrent assets based on the term of the remaining restriction.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Concentration of 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are reflected principally in cash and cash equivalents, investment in equity securities and accounts receivable. The Company places its cash and cash equivalents and funds with banks that have high credit ratings, limits the amount of credit exposure with any one bank and conducts ongoing evaluations of the creditworthiness of the corporations and banks with which it does business. The Company holds cash and cash equivalent concentrations in financial institutions around the world in excess of federally insured limits. The Company has not experienced any losses to date related to these concentrations.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Accounts receivable,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from contracts with customers are recorded at the invoiced amounts. The Company recognizes an allowance for credit losses in accordance with ASC 326 using the Current Expected Credit Loss (CECL) model. The allowance reflects management’s estimate of lifetime expected credit losses based on historical experience, current conditions, and reasonable and supportable forecasts.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applies the aging method and the simplified approach permitted under ASC 326 for trade receivables. Receivables are evaluated on a collective basis, and loss rates are determined based on the aging of balances. Historical loss rates are updated periodically. Based on the Company’s assessment, historical loss experience continues to provide the most reliable basis for estimating expected credit losses.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Receivables are written off when they are deemed uncollectible, with the corresponding amount charged against the allowance for credit losses. Recoveries of amounts previously written off are recognized when received and recorded as a reduction to the provision for credit losses. The provision is presented within noninterest expense—general and administrative in the consolidated statements of operations and comprehensive income (loss).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reviews the allowance for credit losses regularly. Changes in estimates or assumptions, or updates to customer-specific facts and circumstances, may result in adjustments to the allowance in the period such changes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Property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represents the costs of furniture and fixtures, office and computer equipment, and leasehold improvements. Property and equipment cost also includes any costs necessarily incurred to bring assets to the condition and location necessary for its intended use. Property and equipment are stated at cost, less accumulated depreciation and impairment losses. Depreciation is calculated using declining balance method over the assets’ estimated useful lives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electrical equipment</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 and other equipment</w:t>
            </w: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 years</w:t>
            </w:r>
          </w:p>
        </w:tc>
      </w:tr>
      <w:tr>
        <w:trPr>
          <w:trHeight w:val="414"/>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240"/>
          </w:cols>
          <w:pgMar w:left="320" w:top="68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Leasehold improvements related to office facilities are depreciated over the shorter of the lease term or the estimated useful life of the improvement.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remaining estimated useful lives of its property and equipment on an ongoing basis. Management is required to use judgment in determining the estimated useful lives of such assets. Changes in circumstances such as technological advances, changes to the Company’s business model, changes in the Company’s business strategy, or changes in the planned use of property and equipment could result in the actual useful lives differing from the Company’s current estimates. In cases where the Company determines that the estimated useful life of property and equipment should be shortened or extended, the Company would apply the new estimated useful life prospectively.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 events or circumstances indicate the carrying amount may not be recoverable.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Upon retirement or sale, the cost and related accumulated depreciation are removed from the balance sheet and the resulting gain or loss is reflected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Intangible assets,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capitalizes costs incurred on its internal-use software during the application development stage as intangibles under development. Costs related to preliminary project activities and post implementation activities are expensed as incurred. Once the developed software is available for intended use, capitalization ceases, and the Company estimates the useful life of the asset and begins amortization.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which is generally three years and up to five.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the useful lives of these assets on an annual basis and tests for impairment whenever events or changes in circumstances occur that could impact the recoverability of these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leases in accordance with Accounting Standards Codification (“ASC”) 842, “Leases” (“ASC 842”). The Company elected the “package of practical expedients,” which permits us not to reassess under ASC 842 our prior conclusions about lease identification, lease classification and initial direct costs. The Company made a policy election not to separate non-lease components from lease components, therefore, the Company accounts for lease and non-lease components as a single lease component. The Company also elected the short-term lease recognition exemption for all leases that qualify.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of the arrangement based on whether the Company has the right to obtain substantially all of the economic benefits from the use of an identified asset and whether it has the right to direct the use of an identified asset in exchange for consideration, which relates to an asset which the Company does not own. Right of use (“ROU”) assets represent the Company’s right to use an underlying asset for the lease term and lease liabilities represent its obligation to make lease payments arising from the lease. ROU assets are recognized as the lease liability, adjusted for lease incentives received. Lease liabilities are recognized at the present value of the future lease payments at the lease commencement date. The interest rate used to determine the present value of the future lease payments is the Company’s incremental borrowing rate (“IBR”), because the interest rate implicit in most of its leases is not readily determinable. The IBR is a hypothetical rate based on our understanding of what the Company’s credit rating would be to borrow and resulting interest it would pay to borrow an amount equal to the lease payments in a similar economic environment over the lease term on a collateralized basis. Lease payments may be fixed or variable; however, only fixed payments or in-substance fixed payments are included in the Company’s lease liability calculation. Variable lease payments may include costs such as common area maintenance, utilities, real estate taxes or other costs. Variable lease payments are recognized in operating expenses in the period in which the obligation for those payments are incurred.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short-term operating lease liabilities, current and long-term operating lease liabilities, non-current on the Company’s consolidated balance sheets. Finance leases are included in property and equipment, net, accrued and other current liabilities, and other long-term liabilities on the Company’s consolidated balance sheets. For operating leases, lease expense is recognized on a straight-line basis in operations over the lease term. For finance leases, lease expense is recognized as depreciation and interest; depreciation on a straight-line basis over the lease term and interest using the effective interest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 and 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holds financial instruments that are measured and disclosed at fair value. Fair value is determined in accordance with a fair value hierarchy that prioritizes the inputs and assumptions used, and the valuation techniques used to measure fair value. The three levels of the fair value hierarchy are described as follows:</w:t>
      </w:r>
    </w:p>
    <w:p>
      <w:pPr>
        <w:spacing w:after="0" w:line="176" w:lineRule="exact"/>
        <w:rPr>
          <w:sz w:val="20"/>
          <w:szCs w:val="20"/>
          <w:color w:val="auto"/>
        </w:rPr>
      </w:pPr>
    </w:p>
    <w:p>
      <w:pPr>
        <w:ind w:left="1960" w:right="2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u w:val="single" w:color="auto"/>
          <w:color w:val="auto"/>
        </w:rPr>
        <w:t>Level 1 inputs:</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accessible to the reporting entity at the measurement date.</w:t>
      </w:r>
    </w:p>
    <w:p>
      <w:pPr>
        <w:spacing w:after="0" w:line="162" w:lineRule="exact"/>
        <w:rPr>
          <w:sz w:val="20"/>
          <w:szCs w:val="20"/>
          <w:color w:val="auto"/>
        </w:rPr>
      </w:pPr>
    </w:p>
    <w:p>
      <w:pPr>
        <w:ind w:left="1960" w:right="2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u w:val="single" w:color="auto"/>
          <w:color w:val="auto"/>
        </w:rPr>
        <w:t>Level 2 inputs:</w:t>
      </w:r>
      <w:r>
        <w:rPr>
          <w:sz w:val="20"/>
          <w:szCs w:val="20"/>
          <w:color w:val="auto"/>
        </w:rPr>
        <w:tab/>
      </w:r>
      <w:r>
        <w:rPr>
          <w:rFonts w:ascii="Times New Roman" w:cs="Times New Roman" w:eastAsia="Times New Roman" w:hAnsi="Times New Roman"/>
          <w:sz w:val="18"/>
          <w:szCs w:val="18"/>
          <w:color w:val="auto"/>
        </w:rPr>
        <w:t>Other than quoted prices included in Level 1 inputs that are observable for the asset or liability, either directly or indirectly, for substantially the full term of the asset or liability.</w:t>
      </w:r>
    </w:p>
    <w:p>
      <w:pPr>
        <w:spacing w:after="0" w:line="162" w:lineRule="exact"/>
        <w:rPr>
          <w:sz w:val="20"/>
          <w:szCs w:val="20"/>
          <w:color w:val="auto"/>
        </w:rPr>
      </w:pPr>
    </w:p>
    <w:p>
      <w:pPr>
        <w:ind w:left="196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u w:val="single" w:color="auto"/>
          <w:color w:val="auto"/>
        </w:rPr>
        <w:t>Level 3 inputs:</w:t>
      </w:r>
      <w:r>
        <w:rPr>
          <w:sz w:val="20"/>
          <w:szCs w:val="20"/>
          <w:color w:val="auto"/>
        </w:rPr>
        <w:tab/>
      </w:r>
      <w:r>
        <w:rPr>
          <w:rFonts w:ascii="Times New Roman" w:cs="Times New Roman" w:eastAsia="Times New Roman" w:hAnsi="Times New Roman"/>
          <w:sz w:val="18"/>
          <w:szCs w:val="18"/>
          <w:color w:val="auto"/>
        </w:rPr>
        <w:t>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 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 The recorded amounts of certain financial instruments, including cash and cash equivalents, restricted cash and cash equivalents, accounts receivable, accounts payable, and accrued expenses and other liabilities approximate fair value due to their relatively short maturities.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Business combination and asset acquisition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an acquisition as a business combination if the assets acquired and liabilities assumed in the transaction constitute a business in accordance with ASC Topic 805 “Business Combinations.” Such acquisitions are accounted using the acquisition method i.e., by recognizing the identifiable tangible and intangible assets acquired and liabilities assumed, and any non-controlling interest in the acquired business, measured at their acquisition date fair values. Where the set of assets acquired and liabilities assumed do not constitute a business, it is accounted for as an asset acquisition where the individual assets and liabilities are recorded at their respective relative fair values corresponding to the consideration transferred.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 the set of assets acquired and liabilities assumed does not constitute a business as defined under ASC 805, the transaction is accounted for as an asset acquisition. In such cases, the Company allocates the purchase price to the individual identifiable assets acquired and liabilities assumed based on their relative fair values at the acquisition date. No goodwill is recognized in an asset acquisition. The assets recognized through the purchase price allocation are expected to provide economic benefits to the Company through future cash flows, cost efficiencies, or strategic advantages associated with the acquired assets. These assets are subsequently measured and amortized or depreciated in accordance with the Company’s accounting policies applicable to the respective asset classes.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business acquisitions accounted for using the acquisition method of accounting and is not amortized. Goodwill is measured and tested for impairment on an annual basis in accordance with ASC 350, Intangibles - Goodwill and Other, or more frequently if an event occurs or circumstances change that would more likely than not reduce the fair value of a reporting unit below its carrying amount. Such events and changes may include: significant changes in performance related to expected operating results, significant changes in asset use, significant negative industry or economic trends, and changes in our business strategy.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test for goodwill impairment starts with a qualitative assessment to determine whether it is necessary to perform the quantitative goodwill impairment test. If qualitative factors indicate that the fair value of the reporting unit is more likely than not less than its carrying amount, then a quantitative goodwill impairment test is performed. For the purposes of impairment testing, the Company determined that it has five reporting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Foreign currency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are reported in U.S. Dollars (“USD”), the Parent Company’s functional currency. The functional currency for the Company’s subsidiaries in India is the Indian Rupee (“INR”), the functional currency of the Company’s subsidiary in the United Kingdom is the British Pound Sterling (“GBP”), and the functional currency of the Company’s subsidiary in the People’s Republic of China is the Chinese Renminbi (“RMB”). The translation of the functional currency of the Company’s subsidiaries into USD is performed for balance sheet accounts using the exchange rates in effect as of the balance sheet date and for revenues and expense accounts using an average exchange rate prevailing during the respective period. The gains or losses resulting from such translation are reported as currency translation adjustments (“CTA”) under other comprehensive income/loss, or under accumulated other comprehensive income/loss as a separate component of equity.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Monetary assets and liabilities of the Company and its subsidiaries that are denominated in currencies other than the subsidiary’s functional currency are translated into their respective functional currency at the rates of exchange prevailing on the balance sheet date. Transactions of the Company and its subsidiaries that are denominated in currencies other than the subsidiary’s functional currency are translated into the respective functional currencies at the average exchange rate prevailing during the period of the transaction. The gains or losses resulting from foreign currency transactions are included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Employee benefit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consolidated statements of operations in the period in which services are rendered by the covered employees. Current service costs for defined benefit plans are accrued in the period to which they relate. The liability from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annual amounts relating to its defined benefit plans based on calculations that incorporate various actuarial and other assumptions, including discount rates, mortality, future compensation increases and attrition rates. The Company reviews its assumptions on an annual basis and makes modifications to the assumptions based on current rates and trends when it is appropriate to do so. The effect of modifications to those assumptions is recorded in its entirety immediately. The Company believes that the assumptions utilized in recording its obligations under its plans are reasonable based on its experience and market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determined using the first-in, first-out method (FIFO) for all inventories.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Company’s consolidated financial statements. In estimating future tax consequences, generally all expected future events other than enactments or changes in the tax law or rates are considered.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differences between the financial statement carrying amounts of existing assets and liabilities and their tax bases and for all operating loss and tax credit carryforwards, if any. Deferred tax assets and liabilities are measured using enacted tax rates expected to apply to taxable income in the years in which those temporary differences are expected to be recovered or settled. The effect on deferred tax assets and liabilities of a change in tax laws or rates is recognized in the consolidated statement of income in the period that includes the enactment date. Deferred tax assets are reduced by a valuation allowance if, based on the weight of available evidence, it is more likely than not that some portion or all of the deferred tax assets will not be realized.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realization of deferred tax assets ultimately depends on the existence of sufficient taxable income of the appropriate character within the carryback or carryforward periods available under the applicable tax law.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regularly reviews the deferred tax assets for recoverability based on historical taxable income, projected future taxable income, the expected timing of the reversals of existing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provision would increase or decrease in the period in which the assessment is changed.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Loss per share attributable to Ordinary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ordinary share is computed by dividing the net loss available to ordinary shareholders (the numerator) by the weighted average number of ordinary shares outstanding (the denominator) during the period. Diluted net loss per ordinary share is computed by dividing the net loss available to ordinary shareholders by the weighted average number of ordinary shares and potential ordinary shares outstanding when the impact is not antidilutive. Potential ordinary shares from stock options, unvested restricted stock units and ordinary share warrants are computed using the treasury stock method. Contingently issuable shares are included in basic net loss per share only when there is no circumstance under which those shares would not be issued. Shares issuable for little or no cash consideration shall be considered outstanding ordinary shares and included in the computations of basic and diluted net loss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Public and Private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Vahanna’s initial public offering in 2021, 10,004,994 public warrants were issued (the “Public Warrants”) and 9,152,087 warrants were issued in a private placement (the “Private Placement Warrants”). Both Public Warrants and Private Placement Warrants remained outstanding and became warrants to purchase Ordinary Shares in the Company upon the close of the Business Combination. During the quarter ended December 31, 2025 the Company registered the Private Placement Warrants and Ordinary Shares underlying them, thereby removing all restrictions on the Private Placement Warrants. As a result, the Company is no longer differentiating between the Public and Private Placement Warrants and only uses the term Public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Public Warrants are not accounted for as liabilities. The Public Warrants will not be adjusted for issuances of Ordinary Shares at a price below its exercise price. Additionally, in no event will the Company be required to net cash settle the Public Warrants.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17 for further information regarding the fair value of the Public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Fund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investments are classified as available-for-sale securities and are measured at fair value based on quoted market prices in accordance with ASC 320 and ASC 820.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Non marketable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 investments with a readily determinable fair value, other than equity method investments, are measured at fair value with changes in fair value recognized in the consolidated statements of operations. Equity investments without a readily determinable fair value, are measured at cost, less any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Commitments and 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Recoveries of environmental remediation costs from third parties that are probable of realization are separately recorded as assets and are not offset against the related environmental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consist primarily of revenue from:</w:t>
      </w:r>
    </w:p>
    <w:p>
      <w:pPr>
        <w:spacing w:after="0" w:line="225"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policy distribution in the form of commissions, brokerage, underwriting and other fees;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support services comprised of pre-inspection and risk assessment, roadside assistance, extended warranty, and claim processing using the Company’s IaaS platform.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at the time of transfer of promised goods or services to customers in an amount that reflects the consideration to which the Company expects to be entitled in exchange for those goods or services. Revenues cannot be recognized until the performance obligation(s) are satisfied and control is transferred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from distribution of insurance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policy distribution and brokerage income: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with insurance companies for the purpose of distributing insurance products to end consumers. The Company’s performance obligation under these contracts is to sell insurance policies to earn commissions, brokerage and other fees. Revenue from distribution services is recognized at a point in time when the related services are rendered as per the terms of the agreement with customers. Revenue is disclosed net of the Goods and Service tax charged on such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fee from underwriting and pricing: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insurance companies for the purpose of underwriting insurance products for the automotive segment including its pricing on behalf of insurers. The risk of underwriting the insurance contract is covered by the insurer and thus the Company is considered as an agent for the purpose of recognizing revenue. The Company’s performance obligation under these contracts is to underwrite and price the policies. The Company generates underwriting fees termed as Managing General Agent fees (MGA fees) on provision of those services. The underwriting fees are determined as a percentage of net insurance premiums payable to the insurer (net of all commissions, royalties, and administration fees). Revenue from underwriting and pricing is recognized upfront based on the point in time i.e., at the time the policy is issued to the customer.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IaaS platform enabled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Roadside assistance and extended warranty income: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insurance companies and other subscribers in order to provide roadside assistance services and extended warranty services to their policyholders/subscribers. The Company’s performance obligation under these contracts is to provide roadside assistance and extended warranty services as a stand ready obligation. The Company is the primary obligor in these transactions and has latitude in establishing prices and selecting and contracting with suppliers, and is accordingly considered as principal for the purpose of recognizing gross revenue. Revenue from roadside assistance is recorded both at the time of completion of service and in some cases it is recorded over the tenure of the contract. Revenue from extended warranty services is recorded over the tenure of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income: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with insurance companies to inspect vehicles for accident claims made by their policyholders. The Company’s performance obligation under these contracts is to inspect and assist in assessing claims for and on behalf of the customers, i.e. the insurance companies. The Company engages with multiple vendors to provide these services in different geographies. The Company is the primary obligor in the transaction and has latitude in establishing prices, and selecting and contracting with suppliers, and is accordingly considered as principal for the purpose of recognizing revenue. Revenue from inspection and risk assessment is recorded when the inspections are conducted.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fee from insurance support and service plan administration: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insurance companies and OEMs to provide insurance support and service plan administration, including premium collection, policy administration, claims processing, customer support, and warranty program management. These services represent a single stand-ready performance obligation that is satisfied over time, with revenue recognized ratably over the contract term (typically one to seven years) as services are continuously provided. The Company acts solely as an agent on behalf of insurers and OEMs, with the underlying insurance and warranty obligations remaining with the principals. Accordingly, the Company recognizes only the administration or management fees it retains as revenue, while claims-related activities are performed as part of its administrative services and do not represent separate performance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Claims revenue from repairs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garages primarily for the facilitation of vehicle repairs and the administration of insurance claim processes on behalf of its customers. The Company’s performance obligation under these arrangements is to administer and coordinate the vehicle repair process and to facilitate the submission and processing of related claims. The Company controls the entire end to end process of claims before the repaired vehicle is transferred to the customer. Revenue arising from claims on vehicle repair services is recognized at a point in time, upon completion of the vehicle repair, which is the point at which the performance obligation is considered satisfied. The Company also earns commissions from on-boarding new garages.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development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Arrangements with customers for software development services are either on a fixed-price, fixed-timeframe or time-based.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on time-based service contracts are recognized as the related services are performed and the customers are billed based on the actual time incurred by personnel allocated at contractual billing rates. Revenue from the end of the last invoicing to the reporting date is recognized as accrued income. Revenue from fixed-price and fixed-timeframe contracts, where the performance obligations are satisfied over time, revenue is recognized as and when the milestones are satisfied.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to software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on a straight-line basis over the contractual subscription period. For the Upfront fees or One time usage revenue is recognized at the point of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DrivebuddyAI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to the extent it is probable that the future economic benefits will flow to the Company and revenue can be reliably measured.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operations is recognized in statement of Profit and Loss on an accrual basis as state below:</w:t>
      </w:r>
    </w:p>
    <w:p>
      <w:pPr>
        <w:spacing w:after="0" w:line="20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 Income from Operating leases is Recognized on Straight line basis over the lease term.</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Sale - Income from Device Sale is Recognized when risks &amp; rewards pertaining to the said device are transferred &amp; there is reasonable certainty as to the collection of the revenue.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from Trading of spare parts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the sale of spare parts is recognized at a point in time when control of the parts is transferred to the customer, which is generally upon dispatch or delivery of the goods depending on the shipping terms. Revenue is measured based on the consideration specified in a contract with a customer, net of returns and trade discounts.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Fleet damage protection and administration 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with distributors for the provision of damage protection and administration programs to their customers. The Company’s performance obligation is to design and structure the program and place the related cover, together with preparing supporting documentation. Revenue arising from program fees is recognized at a point in time at the inception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brief description of the components of the Company’s expenses: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Cost of services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cost of services for the Company’s distribution business includes employee related expenses directly involved in generating and servicing revenue and other direct expenses related to facilities.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IaaS platform-based services cost of revenue primarily consists of direct costs incurred for delivering the services to customers and the cost of onsite engineering support for roadside assistance, employee related expenses, risk assessment expenses and other direct expenses. Amounts incurred towards vendors/suppliers for inspections and roadside assistance also form part of direct cost. Cost of services also includes cost of telematics devices sold through different subscription or upfront sale model.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services are recognized as they are incurred.</w:t>
      </w:r>
    </w:p>
    <w:p>
      <w:pPr>
        <w:spacing w:after="0" w:line="221"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expenses includes costs related to brokerage income which is derived from sale of insurance policies such as broker expenses, cost of sales, promotion expense, and travel and entertainment expenses. Broker expense is the compensation paid to our channel partners when an insurance policy is written through a broker relationship. This function also includes expenses incurred directly or indirectly for selling and marketing a product or service and costs spent on/by personnel employed under the sales or marketing departments and share based compensation expenses. These expenses also include marketing efforts made by the Company to expand its market reach for distributing insurance policies. The expenses include advertisements through different mediums to reach end customers of insurance policies to enhance awareness and educate end customers.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personnel costs for corporate, finance, legal and other support staff, including bonus and share based compensation expenses, professional fees, allowance for doubtful accounts and other corporate expenses.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expense</w:t>
      </w:r>
    </w:p>
    <w:p>
      <w:pPr>
        <w:spacing w:after="0" w:line="22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 consists of personnel costs incurred by the technology development team, subscription costs and other costs associated with ongoing improvements to and maintenance of internally developed software, share based compensation expenses and allocation of certain corporate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Recently issued accounting pronouncements and not yet adopted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timeline for new or revised accounting standards as other public companies that are not emerging growth companies which may make comparison of the Company’s financial statements to those of other public companies more difficult.</w:t>
      </w:r>
    </w:p>
    <w:p>
      <w:pPr>
        <w:spacing w:after="0" w:line="192" w:lineRule="exact"/>
        <w:rPr>
          <w:sz w:val="20"/>
          <w:szCs w:val="20"/>
          <w:color w:val="auto"/>
        </w:rPr>
      </w:pPr>
    </w:p>
    <w:p>
      <w:pPr>
        <w:jc w:val="both"/>
        <w:ind w:left="1300" w:hanging="644"/>
        <w:spacing w:after="0" w:line="253"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(such as purchases of inventory, employee compensation, depreciation, and intangible asset amortization) as well as disclosures about selling expenses. The new standard does not change the requirements for the presentation of expenses on the face of the income statement. In January 2025, the FASB issued ASU 2025-01, “Income Statement – Reporting Comprehensive Income – Expense Disaggregation Disclosures (Subtopic 220-40): Clarifying the Effective Date,” to clarify the interim reporting effective date of ASU 2024-03. ASU 2024-03, as clarified by ASU 2025-01, is effective for the Company for annual periods beginning after December 15, 2026, and interim periods within annual periods beginning after December 15, 2027. Early adoption is permitted. The new guidance will be applied prospectively with the option for retrospective application. The Company is currently evaluating the guidance and expects it to only impact disclosures with no impact to results of operations, cash flows, or financial condition.</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which clarifies the requirements for determining whether certain settlements of convertible debt instruments should be accounted for as an induced conversion. ASU 2024-04 is effective for the Company for annual reporting periods beginning after December 15, 2025, and interim reporting periods within those annual reporting periods, with early adoption permitted. The Company is currently evaluating the impact of this pronouncement on its consolidated financial statements.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amends certain aspects of the accounting for and disclosure of internal-use software costs. The new guidance removes references to software development project stages so that it is neutral to different software development methods, including iterative (agile) methods that entities may use to develop software. The new guidance requires an entity to capitalize software costs when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The new guidance is effective for the Company for annual reporting periods beginning after December 15, 2027, and interim reporting periods within those annual reporting periods, with early adoption permitted. The Company is currently evaluating the guidance and its impact on results of operations, cash flows, or financial condition.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2025-11, “Interim Reporting (Topic 270): Narrow-Scope Improvements,” intended to improve the navigability of the guidance in ASC 270, Interim Reporting, and clarify when it applies. The amendments also provide additional guidance on what disclosures should be provided in interim reporting periods and add a principle that requires entities to disclose events since the end of the last annual reporting period that have a material impact on the entity. ASU 2025-11 is effective for the Company for fiscal years beginning after December 15, 2027, including interim reporting periods within those fiscal years. Early adoption is permitted, and the amendments may be applied either prospectively or retrospectively. The Company is currently evaluating the guidance and its impact on results of operations, cash flows, or financial condition.</w:t>
      </w:r>
    </w:p>
    <w:p>
      <w:pPr>
        <w:spacing w:after="0" w:line="21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business entities, on an annual basis, to disclose specific categories in the income tax rate reconciliation and provide additional information for reconciling items that meet a quantitative threshold. In addition, all entities are required to disclose, on an annual basis, the amount of income taxes paid, net of refunds received, disaggregated by federal, state and foreign taxes, and by individual jurisdictions if the amount is equal to or greater than 5% of total income taxes paid, net of refunds received. ASU 2023-09 may be adopted on a prospective or retrospective basis. For public business entities, the guidance is effective for fiscal years beginning after December 15, 2024. As an emerging growth company that has elected to use the extended transition period under the JOBS Act, the standard is effective for the Company for annual periods beginning after December 15, 2025, with early adoption permitted. The Company is currently evaluating the guidance and expects it to only impact disclosures with no impact to results of operations, cash flows, or financial condition.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other new accounting standards identified and not yet implemented that are expected to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Recent Accounting Pronouncements - Accounting Standards Adopted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which (1) clarifies the guidance in Topic 820, Fair Value Measurement, when measuring the fair value of an equity security subject to contractual restrictions that prohibit the sale of an equity security, (2) amends a related illustrative example, and (3) introduces new disclosure requirements for equity securities subject to contractual sale restrictions that are measured at fair value in accordance with Topic 820. The Company</w:t>
      </w:r>
    </w:p>
    <w:p>
      <w:pPr>
        <w:sectPr>
          <w:pgSz w:w="11900" w:h="16936" w:orient="portrait"/>
          <w:cols w:equalWidth="0" w:num="1">
            <w:col w:w="11240"/>
          </w:cols>
          <w:pgMar w:left="320" w:top="684" w:right="339" w:bottom="0" w:gutter="0" w:footer="0" w:header="0"/>
        </w:sectPr>
      </w:pPr>
    </w:p>
    <w:bookmarkStart w:id="130" w:name="page131"/>
    <w:bookmarkEnd w:id="130"/>
    <w:p>
      <w:pPr>
        <w:spacing w:after="0" w:line="282" w:lineRule="auto"/>
        <w:rPr>
          <w:sz w:val="20"/>
          <w:szCs w:val="20"/>
          <w:color w:val="auto"/>
        </w:rPr>
      </w:pPr>
      <w:r>
        <w:rPr>
          <w:rFonts w:ascii="Times New Roman" w:cs="Times New Roman" w:eastAsia="Times New Roman" w:hAnsi="Times New Roman"/>
          <w:sz w:val="18"/>
          <w:szCs w:val="18"/>
          <w:color w:val="auto"/>
        </w:rPr>
        <w:t>adopted ASU 2022-03 effective April 1, 2025 on a prospective basis. The adoption of this guidance did not have a material impact on the Company’s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with banks</w:t>
            </w: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current accounts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6,562,944</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4,829,632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hand</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15,650</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6,578,594</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4,836,576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 (non - current)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222,026</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Accounts receivables, net</w:t>
            </w: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8,887,406</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(1,386,967)</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(591,326)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7,500,439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2,625,385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details of the Company’s allowance for credit accounts:</w:t>
            </w: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591,326</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charged</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844,835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(49,194)</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1,386,967</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3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4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Balance with statutory authorities</w:t>
            </w:r>
            <w:r>
              <w:rPr>
                <w:rFonts w:ascii="Times New Roman" w:cs="Times New Roman" w:eastAsia="Times New Roman" w:hAnsi="Times New Roman"/>
                <w:sz w:val="27"/>
                <w:szCs w:val="27"/>
                <w:color w:val="auto"/>
                <w:vertAlign w:val="superscript"/>
              </w:rPr>
              <w:t>(i)</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2,587,264</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1,496,055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6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Unbilled revenue</w:t>
            </w:r>
            <w:r>
              <w:rPr>
                <w:rFonts w:ascii="Times New Roman" w:cs="Times New Roman" w:eastAsia="Times New Roman" w:hAnsi="Times New Roman"/>
                <w:sz w:val="29"/>
                <w:szCs w:val="29"/>
                <w:color w:val="auto"/>
                <w:vertAlign w:val="superscript"/>
              </w:rPr>
              <w:t>(ii)</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5,827,805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6,201,942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Advances given</w:t>
            </w:r>
            <w:r>
              <w:rPr>
                <w:rFonts w:ascii="Times New Roman" w:cs="Times New Roman" w:eastAsia="Times New Roman" w:hAnsi="Times New Roman"/>
                <w:sz w:val="29"/>
                <w:szCs w:val="29"/>
                <w:color w:val="auto"/>
                <w:vertAlign w:val="superscript"/>
              </w:rPr>
              <w:t>(iii)</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1,635,623</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1,555,929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6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receivables</w:t>
            </w:r>
            <w:r>
              <w:rPr>
                <w:rFonts w:ascii="Times New Roman" w:cs="Times New Roman" w:eastAsia="Times New Roman" w:hAnsi="Times New Roman"/>
                <w:sz w:val="29"/>
                <w:szCs w:val="29"/>
                <w:color w:val="auto"/>
                <w:vertAlign w:val="superscript"/>
              </w:rPr>
              <w:t>(iv)</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47,835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673,595</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6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Forward purchase agreement</w:t>
            </w:r>
            <w:r>
              <w:rPr>
                <w:rFonts w:ascii="Times New Roman" w:cs="Times New Roman" w:eastAsia="Times New Roman" w:hAnsi="Times New Roman"/>
                <w:sz w:val="29"/>
                <w:szCs w:val="29"/>
                <w:color w:val="auto"/>
                <w:vertAlign w:val="superscript"/>
              </w:rPr>
              <w:t>(v)</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6,800,000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8,628,301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260,997</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17,833,119</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19,092,595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i)Balance with statutory authorities represents withholding taxes and value added tax receivable from local tax authorities.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ii)Unbilled revenue is net of allowances amounting to $1,809,347 and $0 as on March 31, 2026 and March 31, 2025 respectively.</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iii)Advances given include:</w:t>
      </w:r>
    </w:p>
    <w:p>
      <w:pPr>
        <w:spacing w:after="0" w:line="333" w:lineRule="exact"/>
        <w:rPr>
          <w:sz w:val="20"/>
          <w:szCs w:val="20"/>
          <w:color w:val="auto"/>
        </w:rPr>
      </w:pPr>
    </w:p>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$1,106,447 and $1,135,108 of advances to suppliers as of March 31, 2026 and March 31, 2025, respectively.</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$336,381 and $128,654 of advances to employees as of March 31, 2026 and March 31, 2025, respectively. Advances to employees include related party balances of $70,456 and $71,382 as of March 31, 2026 and as of March 31, 2025 respectively.</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$97,049 in advances were extended to Viansh Insurance Brokers Private Limited towards a Business Purchase Agreement entered by one of the Company’s subsidiary Good Insurance Brokers Pvt Ltd in India.</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iv)Other receivable includes allowances for doubtful receivables of $2,800,000 as of March 31, 2026 and March 31, 2025.</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v)Forward purchase agreement</w:t>
      </w:r>
    </w:p>
    <w:p>
      <w:pPr>
        <w:spacing w:after="0" w:line="33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August 25, 2023, the Company entered into an agreement with (i) Meteora Capital Partners, LP (“MCP”), (ii) Meteora Select Trading Opportunities Master, LP (“MSTO”), and (iii) Meteora Strategic Capital, LLC (“MSC” and, collectively with MCP and MSTO, “Seller”) (the “Forward Purchase Agreement” or “FPA”) for OTC Equity Prepaid Forward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18"/>
          <w:szCs w:val="18"/>
          <w:color w:val="auto"/>
        </w:rPr>
        <w:t>The FPA represents the recognition of the cash payments to the Seller of $42.11 million (including prepayment of $42.06 million and the reimbursable transaction cost of $0.05 million) and the FPA with regard to 3,204,407 shares (recycled shares) and 702,255 shares (FPA subscription shares).The fair value of the FPA receivable is comprised of the Prepayment Amount (as defined in the FPA, $42.11 million) and is reduced by the economics of the downside provided to the Sellers ($35.31 million) and the estimated consideration payment at the Cash Settlement Payment Date ($6.8 million).</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 contractual dispute arose between the Company and the Seller, regarding alleged breaches of the terms of the FPA. In April 2025, the Company initiated legal proceedings against the Seller, citing that despite negotiated safeguards, Meteora sold shares without honoring its payment obligations or providing the required notices under the FPA. The Seller subsequently filed a counterclaim, alleging breach of contract by the Company on the grounds of non-registration of FPA Subscription shares. The dispute includes disagreement over the number of outstanding shares with the Seller as reported by the Company versus those disclosed in the Seller’s filing of Schedule 13G/A with the Securities Exchange Commission, and the termination date of the FPA.</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Assumptions used in calculating estimated fair value of Forward Purchase Agreement as of March 31, 2025 is as follows:</w:t>
            </w:r>
          </w:p>
        </w:tc>
        <w:tc>
          <w:tcPr>
            <w:tcW w:w="118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Non-marketable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Moonshot - Internet SAS (“Moonshot”)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Roadzen (DE) invested $2,410,000 representing a 6.68% equity stake in Moonshot - Internet SAS, a simplified Joint Stock Company existing under the laws of France, which is a subsidiary of Societe Generale. Moonshot is an InsurTech company, registered as an insurance broker, which specializes in usage-based insurance products and services dedicated to E-Commerce. Roadzen (DE) has a representative on the board of directors of Moonshot, however the investment of 6.68% does not give Roadzen (DE) the ability to significantly influence the operating and financial policies of Moonshot, since majority ownership of Moonshot is concentrated with a single shareholder. Therefore, Roadzen (DE) uses the measurement alternative for equity investments without readily determinable fair values for its investment in Moonshot. The Company carries this investment at cost, less impairment.</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31, 2026, Moonshot was wound up and ceased operations. The Company therefore determined the carrying value of its investment was no longer recoverable and recognized a full impairment charge of $269,470. Following the impairment, the carrying value of the investment was fully eliminated.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property and equipment, net were as follows: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483,108</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348,867</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222,467</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 and other equipment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646,843</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233,560</w:t>
            </w: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86,492</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267,767</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equipment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30,230</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30,811</w:t>
            </w:r>
          </w:p>
        </w:tc>
      </w:tr>
      <w:tr>
        <w:trPr>
          <w:trHeight w:val="229"/>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29,223</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31,192</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1,624,763</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(1,087,766)</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(660,639)</w:t>
            </w:r>
          </w:p>
        </w:tc>
      </w:tr>
      <w:tr>
        <w:trPr>
          <w:trHeight w:val="223"/>
        </w:trPr>
        <w:tc>
          <w:tcPr>
            <w:tcW w:w="66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March 31, 2026, the Company capitalized property and equipment totaling $324,519 (prior year was $424,910).</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amounted to $449,030 and $142,027 for the periods ended March 31, 2026 and March 31, 2025, respectively, of which $45,763 and $34,114 are related to computers.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for internal use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17,117,154</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8,281,900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2,585,885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1,163,052</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under development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1,613,679</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712,964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62,524</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150,662</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relationship</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1,445,471</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15,775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22,840,488</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10,308,631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(13,149,836)</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(9,021,736)</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impairment loss</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(38,737)</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(43,642)</w:t>
            </w:r>
          </w:p>
        </w:tc>
      </w:tr>
      <w:tr>
        <w:trPr>
          <w:trHeight w:val="243"/>
        </w:trPr>
        <w:tc>
          <w:tcPr>
            <w:tcW w:w="66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9,651,915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1,243,253</w:t>
            </w:r>
          </w:p>
        </w:tc>
        <w:tc>
          <w:tcPr>
            <w:tcW w:w="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the Company has not derecognized any intangible assets. The prior year totaled $1,167,264 including write-off of customer contracts with Global Insurance Management amounting to $1,194,811 and related accumulated amortization of $389,714, due to termination of the contract and the absence of any future economic benefits.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conducted a qualitative assessment of its intangible assets and concluded that it is more likely than not that the carrying amount of the acquired assets does not exceed their fair value. As such, no impairment was recorded.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the Company acquired a distribution network (the “Agency Relationship”) from the Viaansh Insurance Brokers Private Limited (“Viaansh”) amounting to $1,445,471.</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Company has capitalized software for internal use amounting to $1,202,769 from the Intangible Assets under development (prior year $0).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amortization schedule for the Company’s intangible assets for future periods is set out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1,113,438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5,919,665</w:t>
            </w:r>
          </w:p>
        </w:tc>
        <w:tc>
          <w:tcPr>
            <w:tcW w:w="0" w:type="dxa"/>
            <w:vAlign w:val="bottom"/>
          </w:tcPr>
          <w:p>
            <w:pPr>
              <w:spacing w:after="0"/>
              <w:rPr>
                <w:sz w:val="1"/>
                <w:szCs w:val="1"/>
                <w:color w:val="auto"/>
              </w:rPr>
            </w:pPr>
          </w:p>
        </w:tc>
      </w:tr>
      <w:tr>
        <w:trPr>
          <w:trHeight w:val="43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Other long-term assets</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798,900</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w:t>
            </w:r>
          </w:p>
        </w:tc>
        <w:tc>
          <w:tcPr>
            <w:tcW w:w="2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179,775</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accrued</w:t>
            </w: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2,871</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997,802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14,837,965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10,168,147</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8,599,752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employees</w:t>
            </w:r>
          </w:p>
        </w:tc>
        <w:tc>
          <w:tcPr>
            <w:tcW w:w="2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961,395</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780,695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Due to insurer</w:t>
            </w: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4,278,440</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3,388,668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30,245,947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30,254,010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4"/>
        <w:spacing w:after="0" w:line="282" w:lineRule="auto"/>
        <w:tabs>
          <w:tab w:leader="none" w:pos="8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includes $1,147,560, $10,103,307, and $3,587,098 as of March 31, 2026, and $1,084,594, $8,024,048 and 8,376,253 as of March 31, 2025, related to the cost of services, operating expenses and SPAC Payable respectively.</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comprise of $429,831, $6,078,917, $3,659,399 and $0 as of March 31, 2026, and $1,478,125, $4,897,994, $2,123,633 and $100,000 as of March 31, 2025, related to the cost of services, operating expenses, interest due but not paid and related party balances respectively.</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Employees, comprising salary and reimbursement payables, include related party balances of $93,849 and $74,062 as of March 31, 2026 and March 31, 2025, respectively.</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82"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due to insurer represents the net amounts of premium due to insurer based on the respective contract with each insurer. The net amount due is equal to the gross written premium less the Company’s commission for policies that have reached their effective date. Sum due to insurer is</w:t>
      </w:r>
    </w:p>
    <w:p>
      <w:pPr>
        <w:sectPr>
          <w:pgSz w:w="11900" w:h="16838" w:orient="portrait"/>
          <w:cols w:equalWidth="0" w:num="1">
            <w:col w:w="11240"/>
          </w:cols>
          <w:pgMar w:left="320" w:top="684" w:right="339" w:bottom="0" w:gutter="0" w:footer="0" w:header="0"/>
        </w:sectPr>
      </w:pPr>
    </w:p>
    <w:bookmarkStart w:id="134" w:name="page135"/>
    <w:bookmarkEnd w:id="134"/>
    <w:p>
      <w:pPr>
        <w:spacing w:after="0" w:line="282" w:lineRule="auto"/>
        <w:rPr>
          <w:sz w:val="20"/>
          <w:szCs w:val="20"/>
          <w:color w:val="auto"/>
        </w:rPr>
      </w:pPr>
      <w:r>
        <w:rPr>
          <w:rFonts w:ascii="Times New Roman" w:cs="Times New Roman" w:eastAsia="Times New Roman" w:hAnsi="Times New Roman"/>
          <w:sz w:val="18"/>
          <w:szCs w:val="18"/>
          <w:color w:val="auto"/>
        </w:rPr>
        <w:t>$4,278,440 as of March 31, 2026, which represents funds from the insurer to meet working capital requirements/contingencies arising out of claim settlement.</w:t>
      </w:r>
    </w:p>
    <w:p>
      <w:pPr>
        <w:spacing w:after="0" w:line="1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35" w:name="page136"/>
    <w:bookmarkEnd w:id="13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Other current liabilities</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 consist of the following:</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1,565,548</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535,493</w:t>
            </w: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663,323</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893,822</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991,218</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86,653</w:t>
            </w: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39,609</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25,464</w:t>
            </w:r>
          </w:p>
        </w:tc>
      </w:tr>
      <w:tr>
        <w:trPr>
          <w:trHeight w:val="256"/>
        </w:trPr>
        <w:tc>
          <w:tcPr>
            <w:tcW w:w="660" w:type="dxa"/>
            <w:vAlign w:val="bottom"/>
          </w:tcPr>
          <w:p>
            <w:pPr>
              <w:spacing w:after="0"/>
              <w:rPr>
                <w:sz w:val="22"/>
                <w:szCs w:val="22"/>
                <w:color w:val="auto"/>
              </w:rPr>
            </w:pPr>
          </w:p>
        </w:tc>
        <w:tc>
          <w:tcPr>
            <w:tcW w:w="6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9"/>
                <w:szCs w:val="29"/>
                <w:color w:val="auto"/>
                <w:vertAlign w:val="superscript"/>
              </w:rPr>
              <w:t>(i)</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2,631,976</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 w:type="dxa"/>
            <w:vAlign w:val="bottom"/>
          </w:tcPr>
          <w:p>
            <w:pPr>
              <w:spacing w:after="0"/>
              <w:rPr>
                <w:sz w:val="23"/>
                <w:szCs w:val="23"/>
                <w:color w:val="auto"/>
              </w:rPr>
            </w:pPr>
          </w:p>
        </w:tc>
        <w:tc>
          <w:tcPr>
            <w:tcW w:w="64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9"/>
                <w:szCs w:val="29"/>
                <w:color w:val="auto"/>
                <w:vertAlign w:val="superscript"/>
              </w:rPr>
              <w:t>(ii)</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2,181,115</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561,034</w:t>
            </w:r>
          </w:p>
        </w:tc>
      </w:tr>
      <w:tr>
        <w:trPr>
          <w:trHeight w:val="223"/>
        </w:trPr>
        <w:tc>
          <w:tcPr>
            <w:tcW w:w="66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8,072,789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(i)Contingent consideration includes</w:t>
      </w:r>
    </w:p>
    <w:p>
      <w:pPr>
        <w:spacing w:after="0" w:line="333" w:lineRule="exact"/>
        <w:rPr>
          <w:sz w:val="20"/>
          <w:szCs w:val="20"/>
          <w:color w:val="auto"/>
        </w:rPr>
      </w:pPr>
    </w:p>
    <w:p>
      <w:pPr>
        <w:ind w:left="1300" w:firstLine="4"/>
        <w:spacing w:after="0" w:line="282" w:lineRule="auto"/>
        <w:tabs>
          <w:tab w:leader="none" w:pos="15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contingent consideration payable as a result of the EliteCover Insurance Solutions, Inc, acquisition, amounting to $1,390,617 as of March 31, 2026.</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contingent consideration payable as a result of the acquisition of Viaansh Insurance Brokers Private Limited, amounting to $1,241,349 as of March 31, 2026.</w:t>
      </w:r>
    </w:p>
    <w:p>
      <w:pPr>
        <w:spacing w:after="0" w:line="162" w:lineRule="exact"/>
        <w:rPr>
          <w:sz w:val="20"/>
          <w:szCs w:val="20"/>
          <w:color w:val="auto"/>
        </w:rPr>
      </w:pPr>
    </w:p>
    <w:p>
      <w:pPr>
        <w:ind w:left="280" w:hanging="219"/>
        <w:spacing w:after="0" w:line="282" w:lineRule="auto"/>
        <w:rPr>
          <w:sz w:val="20"/>
          <w:szCs w:val="20"/>
          <w:color w:val="auto"/>
        </w:rPr>
      </w:pPr>
      <w:r>
        <w:rPr>
          <w:rFonts w:ascii="Times New Roman" w:cs="Times New Roman" w:eastAsia="Times New Roman" w:hAnsi="Times New Roman"/>
          <w:sz w:val="18"/>
          <w:szCs w:val="18"/>
          <w:color w:val="auto"/>
        </w:rPr>
        <w:t>(ii)Other Payables include consideration payable on acquisition of National Automobile Club, EliteCover Insurance Solutions, Inc., and Houseneed Doorstep Services Private Limited amounting to $125,000, $1,000,000 and $873,440 as of March 31, 2026,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warrant liabilities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Fair valuation of warrants issued to lenders as a part of a senior secured note agreement entered into between Roadzen (DE) and Mizuho Securities USA LLC (“Mizuho”) on June 30, 2023 (“Issuance Date”) as administrative agent amounting to $3,452,371. Each warrant grants the holder the right to purchase one Ordinary Share of the Company at an exercise price of $0.001 with a cashless settlement option where the difference between the exercise price and the market price would be paid to the warrant holder in the form of Ordinary Shares. Since the Company has Warrants traded under the symbol RDZNW, market price method was used to compute the fair market value on the reporting date. The warrants issued are recognized as derivative liabilities and were initially measured using the Black-Scholes model and are subsequently remeasured at each reporting period with changes recorded in consolidated statements of operation. On May 14, 2024, as required by the terms of the senior secured notes agreement, the Company issued to Mizuho a warrant to purchase 1,432,517 Ordinary Shares at an exercise price of $0.001 per share. The fair value of the warrants issued to Mizuho amounts to $1,844,503.</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2 to the senior secured notes, the Company issued to Mizuho an amended and restated warrant to purchase an additional 104,566 Ordinary Shares at an exercise price of $0.001 per share, increasing the total warrant coverage to 1,537,083 Ordinary Shares at an exercise price of $0.001 per share.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assumptions used in calculating estimated fair value of warrants due as of March 31, 2026 is as follows:</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8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w:t>
            </w:r>
          </w:p>
        </w:tc>
        <w:tc>
          <w:tcPr>
            <w:tcW w:w="10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w:t>
            </w: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 years</w:t>
            </w:r>
          </w:p>
        </w:tc>
      </w:tr>
    </w:tbl>
    <w:p>
      <w:pPr>
        <w:spacing w:after="0" w:line="19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Pursuant to the terms of a securities purchase agreement entered into on March 28, 2024 among the Company, Ms. Supurna VedBrat and Krishnan-Shah Family Partners, LP (the “March 2024 SPA”), the Company issued on April 22, 2024 warrants to purchase 50,000 Ordinary Shares to Krishnan-Shah Family Partners, LP, warrants to purchase 50,000 Ordinary Shares to Ms. VedBrat on June 20, 2024, and warrants to purchase an additional 50,000 Ordinary Shares to Ms. VedBrat on October 27, 2024 (such warrants collectively the “March 2024 SPA Warrants”). Each March 2024 SPA Warrant will be exercisable at any time during the period commencing on March 28, 2025 (or earlier under certain circumstances described in the March 2024 SPA Warrants) (as applicable, the “Vesting Date”) through March 28, 2031 (or until the dissolution, liquidation or winding up of the Company, if earlier). The exercise price of the March 2024 SPA Warrants is equal to 80% of the lower of (i) the volume weighted average price (the “VWAP”) of the Ordinary Shares, as reported on the relevant market or exchange, over the 60 trading days subsequent to the first loan funding pursuant to the March 2024 SPA, (ii) the opening price of any public offering of straight equity securities of the Company occurring within six months after the issue date of the March 2024 SPA Warrants and (iii) the VWAP of the Ordinary Shares over the 60 trading days immediately prior to the Vesting Date. Ms. VedBrat is a director of the Company. Ajay Shah, another director of the Company, and his wife, are trustees of the general partner of the Krishnan-Shah Family Partners, LP. The fair value of the warrants issued to Supurna VedBrat and Krishnan-Shah Family Partners, LP amounts to $142,500.</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assumptions used in calculating estimated fair value of warrants due as of March 31, 2026 is as follows:</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8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w:t>
            </w:r>
          </w:p>
        </w:tc>
        <w:tc>
          <w:tcPr>
            <w:tcW w:w="11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1.20</w:t>
            </w:r>
          </w:p>
        </w:tc>
      </w:tr>
      <w:tr>
        <w:trPr>
          <w:trHeight w:val="24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w w:val="98"/>
              </w:rPr>
              <w:t>4.31%</w:t>
            </w:r>
          </w:p>
        </w:tc>
      </w:tr>
    </w:tbl>
    <w:p>
      <w:pPr>
        <w:sectPr>
          <w:pgSz w:w="11900" w:h="16900" w:orient="portrait"/>
          <w:cols w:equalWidth="0" w:num="1">
            <w:col w:w="11240"/>
          </w:cols>
          <w:pgMar w:left="320" w:top="684" w:right="339"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142.66%</w:t>
            </w:r>
          </w:p>
        </w:tc>
        <w:tc>
          <w:tcPr>
            <w:tcW w:w="1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w:t>
            </w:r>
          </w:p>
        </w:tc>
        <w:tc>
          <w:tcPr>
            <w:tcW w:w="2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tcPr>
          <w:p>
            <w:pPr>
              <w:spacing w:after="0"/>
              <w:rPr>
                <w:sz w:val="20"/>
                <w:szCs w:val="20"/>
                <w:color w:val="auto"/>
              </w:rPr>
            </w:pPr>
          </w:p>
        </w:tc>
      </w:tr>
      <w:tr>
        <w:trPr>
          <w:trHeight w:val="41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Borrowings</w:t>
            </w: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Long-term borrowings consist of the following:</w:t>
            </w: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3"/>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banks (note a)</w:t>
            </w:r>
          </w:p>
        </w:tc>
        <w:tc>
          <w:tcPr>
            <w:tcW w:w="2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166,924</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Secured debentures (note b)</w:t>
            </w:r>
          </w:p>
        </w:tc>
        <w:tc>
          <w:tcPr>
            <w:tcW w:w="4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428,729</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1,718,596</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 (note c)</w:t>
            </w:r>
          </w:p>
        </w:tc>
        <w:tc>
          <w:tcPr>
            <w:tcW w:w="4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1,140,753</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1,158,446</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(note d)</w:t>
            </w:r>
          </w:p>
        </w:tc>
        <w:tc>
          <w:tcPr>
            <w:tcW w:w="4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12,205,415</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others (note e)</w:t>
            </w:r>
          </w:p>
        </w:tc>
        <w:tc>
          <w:tcPr>
            <w:tcW w:w="4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11,500,000</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borrowings</w:t>
            </w:r>
          </w:p>
        </w:tc>
        <w:tc>
          <w:tcPr>
            <w:tcW w:w="4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(9,829,713)</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(2,904,444)</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15,612,108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jc w:val="right"/>
              <w:ind w:right="3440"/>
              <w:spacing w:after="0"/>
              <w:rPr>
                <w:sz w:val="20"/>
                <w:szCs w:val="20"/>
                <w:color w:val="auto"/>
              </w:rPr>
            </w:pPr>
            <w:r>
              <w:rPr>
                <w:rFonts w:ascii="Times New Roman" w:cs="Times New Roman" w:eastAsia="Times New Roman" w:hAnsi="Times New Roman"/>
                <w:sz w:val="18"/>
                <w:szCs w:val="18"/>
                <w:color w:val="auto"/>
              </w:rPr>
              <w:t>F-22</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Loans from banks: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38"/>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Long-term borrowings from banks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9.00%</w:t>
            </w:r>
          </w:p>
        </w:tc>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1-May-29</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1-Oct-29</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5-Jan-30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5-Jan-30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5-May-30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10-Aug-30</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from banks</w:t>
            </w:r>
          </w:p>
        </w:tc>
        <w:tc>
          <w:tcPr>
            <w:tcW w:w="1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10-Aug-30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-685165</wp:posOffset>
            </wp:positionV>
            <wp:extent cx="662622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-410845</wp:posOffset>
            </wp:positionV>
            <wp:extent cx="662622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-136525</wp:posOffset>
            </wp:positionV>
            <wp:extent cx="662622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6626225"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-968375</wp:posOffset>
            </wp:positionV>
            <wp:extent cx="662622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loans are vehicle loan and secured by way of hypothecation against vehicle for which loan is granted.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Secured debentures: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Maturity</w:t>
            </w:r>
          </w:p>
        </w:tc>
      </w:tr>
      <w:tr>
        <w:trPr>
          <w:trHeight w:val="238"/>
        </w:trPr>
        <w:tc>
          <w:tcPr>
            <w:tcW w:w="66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00" w:type="dxa"/>
            <w:vAlign w:val="bottom"/>
          </w:tcPr>
          <w:p>
            <w:pPr>
              <w:spacing w:after="0"/>
              <w:rPr>
                <w:sz w:val="20"/>
                <w:szCs w:val="20"/>
                <w:color w:val="auto"/>
              </w:rPr>
            </w:pPr>
          </w:p>
        </w:tc>
        <w:tc>
          <w:tcPr>
            <w:tcW w:w="1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6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(as amended)</w:t>
            </w:r>
          </w:p>
        </w:tc>
      </w:tr>
      <w:tr>
        <w:trPr>
          <w:trHeight w:val="228"/>
        </w:trPr>
        <w:tc>
          <w:tcPr>
            <w:tcW w:w="6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N1-N4 Series Debenture</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-156845</wp:posOffset>
            </wp:positionV>
            <wp:extent cx="662622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10,774</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16,514</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12,703</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12,703</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29,316</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73,514</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14605</wp:posOffset>
            </wp:positionV>
            <wp:extent cx="9855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166,924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27305</wp:posOffset>
            </wp:positionV>
            <wp:extent cx="9855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44450</wp:posOffset>
            </wp:positionV>
            <wp:extent cx="9855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428,729</w:t>
      </w:r>
    </w:p>
    <w:p>
      <w:pPr>
        <w:spacing w:after="0" w:line="231" w:lineRule="exact"/>
        <w:rPr>
          <w:sz w:val="20"/>
          <w:szCs w:val="20"/>
          <w:color w:val="auto"/>
        </w:rPr>
      </w:pPr>
    </w:p>
    <w:p>
      <w:pPr>
        <w:sectPr>
          <w:pgSz w:w="11900" w:h="16838" w:orient="portrait"/>
          <w:cols w:equalWidth="0" w:num="2">
            <w:col w:w="9340" w:space="420"/>
            <w:col w:w="1480"/>
          </w:cols>
          <w:pgMar w:left="320" w:top="684" w:right="339" w:bottom="1440" w:gutter="0" w:footer="0" w:header="0"/>
          <w:type w:val="continuous"/>
        </w:sect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not honored the repayment of the above debentures as on the original maturity date, but has obtained an extension from the lender up to August 15, 2026. During the year, the Company repaid a total of $1,289,867 towards its secured debentures. However, due to the absence of tranche-wise repayment information, management is unable to identify the specific series of debentures to which the repayments relate. Accordingly, the closing outstanding balance of $428,729 has been disclosed on an aggregate basis for all secured debenture series.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debentures are secured by a subordinated lien on intellectual property, current assets and movable property and equipment of certain material foreign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Convertible debenture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the Company has outstanding $1.10 million unsecured convertible debentures to different parties which had a maturity date of December 15, 2025. The instruments carry an interest rate of 13% per annum, unless otherwise specified, as below.</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not honored the repayment of the unsecured convertible debentures, and no conversion option has been exercised.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Redemption/Conversion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 Maturity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any amount of principal or interest under the notes remain outstanding on the maturity date, the Company shall repay the principal together with payment of accrued interest.</w:t>
      </w:r>
    </w:p>
    <w:p>
      <w:pPr>
        <w:spacing w:after="0" w:line="15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Optional Conversion: </w:t>
      </w:r>
      <w:r>
        <w:rPr>
          <w:rFonts w:ascii="Times New Roman" w:cs="Times New Roman" w:eastAsia="Times New Roman" w:hAnsi="Times New Roman"/>
          <w:sz w:val="18"/>
          <w:szCs w:val="18"/>
          <w:color w:val="auto"/>
        </w:rPr>
        <w:t>The unpaid principal amount of this debenture (together with all accrued but unpaid interest thereon) shall be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whole or in part, at the option of the Holder at any time prior to the payment in full of the principal amount of this Debenture, into such number of Ordinary Shares as is determined by dividing the principal amount of the Debenture so converted (together with all accrued but unpaid interest thereon) by the conversion price of $8.50, determined by the greater of (i) the volume-weighted average price of RDZN for the thirty (30) trading day period immediately preceding December 15, 2024 and (ii) 85% of the Conversion Price then in effect, resulting in an optional conversion into 150,995 Ordinary Shares.</w:t>
      </w:r>
    </w:p>
    <w:p>
      <w:pPr>
        <w:spacing w:after="0" w:line="18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Mandatory Conversion by Company: </w:t>
      </w:r>
      <w:r>
        <w:rPr>
          <w:rFonts w:ascii="Times New Roman" w:cs="Times New Roman" w:eastAsia="Times New Roman" w:hAnsi="Times New Roman"/>
          <w:sz w:val="18"/>
          <w:szCs w:val="18"/>
          <w:color w:val="auto"/>
        </w:rPr>
        <w:t>If at any time after the Original Issuance Date, of the closing price of the Common Stock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20 Trading Days within a consecutive 30 Trading Day-period exceeding 130% of the then-applicable Conversion Price, then the Company shall thereafter have the right, at any time upon written notice to the Holder, to convert the unpaid principal amount of this Debenture (together with all accrued but unpaid interest thereon) into such number of shares of fully paid and non-assessable shares of Common Stock as is determined by dividing the principal amount of the Debenture (together with all accrued but unpaid interest thereon) by the Conversion Price (a “Company Conversion”).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Warrants Entitlement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agreed to issue the warrants to the debenture holders within 90 days of the closing of the securities purchase agreement. The warrants shall be equivalent to the 10% of the original principal balance of the notes. The exercise price of the Warrants shall be eight dollars and fifty cents ($8.50) per Warrant Share. The Warrants shall expire five (5) years after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Convertible notes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the Company entered into a securities purchase agreement with an institutional investor pursuant to which it issued junior convertible notes with an aggregate principal amount of $5.56 million, for gross proceeds of $5.0 million, before fees and other expenses. The notes were issued on November 21, 2025 pursuant to a registered public offering (the “November 2025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November 2025 Notes have a contractual maturity of 18 months from the date of issuance and bear interest at a rate of 14% per annum, increasing to 18% per annum upon the occurrence and during the continuation of an event of default. A portion of the principal amount of $0.93 million, together with accrued but unpaid interest, is payable in quarterly installments, commencing three months from the date of issuance.</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November 2025 Notes are convertible at the option of the holders, in whole or in part, at any time, into Ordinary Shares at an initial conversion price of $2.25 per share, subject to customary anti-dilution adjustments and beneficial ownership limitations. The Company may redeem all or any portion of the outstanding November 2025 Notes upon written notice by paying the outstanding principal amount together with accrued interest and a make-whole amount, as defined in the note agreement. Upon the occurrence of an event of default, the holders may require redemption of the November 2025 Notes or elect conversion at the applicable default conversion price.</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8, 2026, the institutional investor elected to convert a principal amount of $100,000.00 of November 2025 Notes, plus the related aggregate accrued and unpaid interest and Make-Whole Amount of $120,715.22 into 98,096 Ordinary Shares. The fair valuation of the November 2025 Notes as of March 31, 2026 is $6,531,602.</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the fair value of the November 2025 Notes was estimated using appropriate valuation techniques with key assumptions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4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Interest rate</w:t>
            </w:r>
          </w:p>
        </w:tc>
        <w:tc>
          <w:tcPr>
            <w:tcW w:w="4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4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 Company entered into a securities purchase agreement with the same institutional investor pursuant to which it issued junior convertible notes with an aggregate principal amount of $5.56 million, for gross proceeds of $5.0 million, before fees and other expenses. The notes were issued on January 20, 2026 pursuant to a registered public offering (the “January 2026 Notes”).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January 2026 Notes have a contractual maturity of approximately 17 months from the date of issuance, maturing on June 20, 2027, and bear interest at a rate of 14% per annum, increasing to 18% per annum upon the occurrence and during the continuation of an event of default. A portion of the principal amount of $0.93 million, together with accrued but unpaid interest, is payable in quarterly installments, commencing three months from the date of issuance.</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January 2026 Notes are convertible at the option of the holders, in whole or in part, at any time, into Ordinary Shares at an initial conversion price of $3.50 per share, subject to customary anti-dilution adjustments and beneficial ownership limitations. In connection with this issuance, the Company and the investor amended the November 2025 Notes to add cross-default provisions and certain covenants consistent with the terms of the new notes, and include covenants that limit the Company’s ability to incur additional indebtedness or certain equity or equity-linked securities while the Notes are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valuation of the convertible notes as at March 31, 2026 is $5,673,813.</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the fair value of the January 2026 Notes was estimated using appropriate valuation techniques with key assumptions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4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Interest rate</w:t>
            </w:r>
          </w:p>
        </w:tc>
        <w:tc>
          <w:tcPr>
            <w:tcW w:w="4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4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Loans from others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2023, the Company (through Roadzen (DE)) entered into a $7.5 million senior secured note purchase agreement with Mizuho Securities USA LLC as lender and administrative agent, which originally had a maturity date of June 30, 2024. In connection with this facility, on May 14, 2024, and as required under the terms of the agreement, the Company issued to the lender warrants to purchase 1,432,517 Ordinary Shares at an exercise price of $0.001 per share.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July 26, 2024, the Company entered into Amendment No. 1 to the senior secured notes, providing for an additional $4.0 million in principal, bringing the total principal amount to $11.5 million, and extending the maturity date to December 31, 2024. The amended notes otherwise maintained all original terms, including a 15% per annum interest rate, without the requirement for any additional warrants.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February 28, 2025, the Company entered into Amendment No. 2 to the senior secured notes, which (i) extended the maturity date of the $11.5 million in outstanding principal from December 31, 2024 to December 31, 2025, and (ii) provided for the joinder of Roadzen Inc. (the British Virgin Islands parent) as an additional guarantor under the facility. No additional principal was advanced under Amendment No. 2, and the aggregate outstanding principal was confirmed at $11.5 million. In connection with the amendment, the Company issued to the lender an amended and restated warrant to purchase an additional 104,566 Ordinary Shares at an exercise price of $0.001 per share, increasing the total warrant coverage to 1,537,083 Ordinary Shares at an exercise price of $0.001 per share; this amended and restated warrant amends, restates and supersedes in its entirety the original warrant for 1,432,517 Ordinary Shares issued on May 14, 2024. The Company also granted the lender registration rights with respect to the resale of the ordinary shares issuable upon exercise of the warrant. The interest rate and other principal terms of the notes were otherwise unchanged.</w:t>
      </w:r>
    </w:p>
    <w:p>
      <w:pPr>
        <w:spacing w:after="0" w:line="18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June 26, 2026, subsequent to the reporting date, the Company entered into Amendment to the senior secured notes with Mizuho Securities USA LLC, which extended the maturity date of the $11.5 million in outstanding principal from December 31, 2025 to July 7, 2027. Following this</w:t>
      </w:r>
    </w:p>
    <w:p>
      <w:pPr>
        <w:sectPr>
          <w:pgSz w:w="11900" w:h="16927" w:orient="portrait"/>
          <w:cols w:equalWidth="0" w:num="1">
            <w:col w:w="11240"/>
          </w:cols>
          <w:pgMar w:left="320" w:top="684" w:right="339" w:bottom="0" w:gutter="0" w:footer="0" w:header="0"/>
        </w:sectPr>
      </w:pPr>
    </w:p>
    <w:bookmarkStart w:id="140" w:name="page141"/>
    <w:bookmarkEnd w:id="140"/>
    <w:p>
      <w:pPr>
        <w:ind w:left="652"/>
        <w:spacing w:after="0" w:line="282" w:lineRule="auto"/>
        <w:rPr>
          <w:sz w:val="20"/>
          <w:szCs w:val="20"/>
          <w:color w:val="auto"/>
        </w:rPr>
      </w:pPr>
      <w:r>
        <w:rPr>
          <w:rFonts w:ascii="Times New Roman" w:cs="Times New Roman" w:eastAsia="Times New Roman" w:hAnsi="Times New Roman"/>
          <w:sz w:val="18"/>
          <w:szCs w:val="18"/>
          <w:color w:val="auto"/>
        </w:rPr>
        <w:t>amendment, the cover page of the note purchase agreement provides for up to $11,500,000 of senior secured notes due July 7, 2027. No additional principal was advanced under the new Amendment, and the interest rate and other principal terms of the notes were otherwise unchanged.</w:t>
      </w:r>
    </w:p>
    <w:p>
      <w:pPr>
        <w:sectPr>
          <w:pgSz w:w="11900" w:h="16838" w:orient="portrait"/>
          <w:cols w:equalWidth="0" w:num="1">
            <w:col w:w="11212"/>
          </w:cols>
          <w:pgMar w:left="328" w:top="121" w:right="359" w:bottom="1440" w:gutter="0" w:footer="0" w:header="0"/>
        </w:sectPr>
      </w:pPr>
    </w:p>
    <w:p>
      <w:pPr>
        <w:spacing w:after="0" w:line="162" w:lineRule="exact"/>
        <w:rPr>
          <w:sz w:val="20"/>
          <w:szCs w:val="20"/>
          <w:color w:val="auto"/>
        </w:rPr>
      </w:pPr>
    </w:p>
    <w:p>
      <w:pPr>
        <w:ind w:left="152" w:hanging="152"/>
        <w:spacing w:after="0"/>
        <w:tabs>
          <w:tab w:leader="none" w:pos="15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aggregate maturities of long-term borrowings are as follows:</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Period ending March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-119380</wp:posOffset>
            </wp:positionV>
            <wp:extent cx="662622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Period ending March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62622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Period ending March 31, 2029</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Period ending March 31,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62622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Period ending March 31, 2031</w:t>
      </w:r>
    </w:p>
    <w:p>
      <w:pPr>
        <w:spacing w:after="0" w:line="200" w:lineRule="exact"/>
        <w:rPr>
          <w:sz w:val="20"/>
          <w:szCs w:val="20"/>
          <w:color w:val="auto"/>
        </w:rPr>
      </w:pPr>
    </w:p>
    <w:p>
      <w:pPr>
        <w:spacing w:after="0" w:line="304" w:lineRule="exact"/>
        <w:rPr>
          <w:sz w:val="20"/>
          <w:szCs w:val="20"/>
          <w:color w:val="auto"/>
        </w:rPr>
      </w:pPr>
    </w:p>
    <w:p>
      <w:pPr>
        <w:ind w:left="5452"/>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9,829,713</w:t>
      </w:r>
    </w:p>
    <w:p>
      <w:pPr>
        <w:spacing w:after="0" w:line="27"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14,324,645</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42,170</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39,863</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10,803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14605</wp:posOffset>
            </wp:positionV>
            <wp:extent cx="11226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24,247,194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19685</wp:posOffset>
            </wp:positionV>
            <wp:extent cx="1122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36830</wp:posOffset>
            </wp:positionV>
            <wp:extent cx="1122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ectPr>
          <w:pgSz w:w="11900" w:h="16838" w:orient="portrait"/>
          <w:cols w:equalWidth="0" w:num="2">
            <w:col w:w="9452" w:space="720"/>
            <w:col w:w="1040"/>
          </w:cols>
          <w:pgMar w:left="328" w:top="121" w:right="35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Short-term borrowings</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banks (note a)</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397,274</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135,347</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115,086</w:t>
            </w:r>
          </w:p>
        </w:tc>
        <w:tc>
          <w:tcPr>
            <w:tcW w:w="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others (note b)</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7,310,646</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19,486,713</w:t>
            </w:r>
          </w:p>
        </w:tc>
        <w:tc>
          <w:tcPr>
            <w:tcW w:w="80" w:type="dxa"/>
            <w:vAlign w:val="bottom"/>
            <w:shd w:val="clear" w:color="auto" w:fill="CCEEFF"/>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7,843,267</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19,865,645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Loans from banks and others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 rate</w:t>
            </w:r>
          </w:p>
        </w:tc>
        <w:tc>
          <w:tcPr>
            <w:tcW w:w="160" w:type="dxa"/>
            <w:vAlign w:val="bottom"/>
            <w:tcBorders>
              <w:bottom w:val="single" w:sz="8" w:color="CCEEFF"/>
            </w:tcBorders>
          </w:tcPr>
          <w:p>
            <w:pPr>
              <w:spacing w:after="0"/>
              <w:rPr>
                <w:sz w:val="20"/>
                <w:szCs w:val="20"/>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from banks and others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65.83%</w:t>
            </w: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Loan from others</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Promissory Note</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the accounting acquirer Roadzen (DE) has assumed promissory note amounting to $2.7 million at a discount of 10% which was obtained to finance transaction costs in connection with the Business Combination. The Promissory note is not convertible and interest of 20% per annum and is due and payable upon the earlier of the date on which the Company consummates its initial Business Combination or the date of the liquidation of the Company. During the quarter ended December 31, 2025, an aggregate amount of $250,000 of principal and $136,959 of accrued interest under the promissory note was settled through issuance of 309,567 Ordinary Shares of the Company. Following such settlement, the outstanding balance of the promissory note was reduced accordingly.</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February 28, 2026, the Company entered into an Agreement for Mutual Set-Off, Waiver, and Release of Obligations between Roadzen, Inc. (DE) and Roadzen Inc. (BVI). Pursuant to the agreement, obligations totaling $1,127,689 (including accrued interest) under the promissory note were discharged by way of mutual set-off against advance receivables of $645,000 previously funded by Roadzen (DE) to the original note purchaser through intermediaries, together with the related original issue discount of $64,500 and accrued compounded interest of $418,189. The outstanding balance of the promissory note (including interest) was reduced by $1,127,689. The net outstanding payable of the original note of $2.7 million as of March 31, 2026 is $1.7 million.</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Additionally, Roadzen (DE) also assumed Convertible Promissory Note amounting to $1.03 million which was obtained to finance transaction costs in connection with a Business Combination. The Convertible Promissory Notes is a non interest-bearing instrument and payable upon the consummation of a Business Combination or may be convertible into warrants of the post-Business Combination entity at a price of $1.00 per warrant at the holder’s discretion. The warrants would be identical to the private placement warrants described in note 17.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honored repayment of these promissory notes on their due dates.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Senior Notes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2024 and June 30, 2024 the Company issued three $0.5 million notes totaling $1.5 million at an interest rate of 17.5% and maturing on the sixth month anniversary of each note’s funding, although failure to pay the principal and accrued interest by that date does not constitute an event of default, increasing two percentage points each month thereafter to a maximum of 29.5%. During the quarter ended December 31, 2025, the Company paid off one note in full, as well as the principal on a second note. Subsequent to the reporting date, the Company paid off the full accrued interest on the second note, thereby leaving one note outstanding with a principal balance of $0.6 million (inclusive of $0.1 million of accrued interest reset into the principal).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Junior Convertible Notes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March 31, 2025, the Company entered into a securities purchase agreement with an institutional investor (the “Junior Investor”) under which the Company agreed to issue and sell, in a registered public offering, junior convertible notes for up to an aggregate principal amount of $2,300,000 (the “Junior Notes”) that may be convertible into the Company’s Ordinary Shares. The Junior Notes were sold for a gross purchase price of $2,000,000 before fees and other expenses. On April 1, 2025, the Company completed the sale of the Junior Notes to the Junior Investor and issued the Junior Notes. The Junior Notes will mature one year from the date of issuance and will bear interest at a rate of 16% per annum (increasing to 18% per annum upon the occurrence and during the continuation of an event of default). 25% of the principal amount of the Junior Notes (less any amount previously converted by the holders), together with accrued but unpaid interest, is payable quarterly, commencing three months after the date of issuance.</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Junior Notes had an initial conversion price of $2.00, which was subsequently reduced to $1.40. During the quarter ended December 31, 2025 the Company fully settled the outstanding Junior Notes. An aggregate amount of $108,106 of principal and accrued interest was settled through the issuance of Ordinary Shares, with the remaining balance repaid in cash. As a result, no Junior Notes were outstanding as of the reporting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Junior Business Loan</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November 12, 2025 Roadzen (DE) entered into a Junior Business Loan and Security Agreement with Agile Lending, LLC (“Agile”) for a principal amount of $3.0 million, refinancing and replacing the previous Junior Business Loan and Security Agreement entered into by National Automobile Club, Inc. (“NAC”) on August 7, 2025. The loan is secured by a continuing security interest in Roadzen (DE)’s assets, including its</w:t>
      </w:r>
    </w:p>
    <w:p>
      <w:pPr>
        <w:sectPr>
          <w:pgSz w:w="11900" w:h="16838" w:orient="portrait"/>
          <w:cols w:equalWidth="0" w:num="1">
            <w:col w:w="11240"/>
          </w:cols>
          <w:pgMar w:left="320" w:top="684" w:right="339" w:bottom="0" w:gutter="0" w:footer="0" w:header="0"/>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18"/>
          <w:szCs w:val="18"/>
          <w:color w:val="auto"/>
        </w:rPr>
        <w:t>accounts, equipment, inventory, general intangibles, and deposit accounts, together with all proceeds thereof, as defined in the agreement. The loan carries an effective payment multiplier of 1.42, inclusive of all interest and fees, is repayable in weekly installments and matures 36 weeks from the effective date, on July 22,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18, 2026, the Company entered into an additional Junior Business Loan and Security Agreement with Agile for a principal amount of $2,625,000. The loan is secured by a continuing security interest in substantially all of the assets of the borrowers, including accounts, equipment, inventory, general intangibles (including intellectual property), deposit accounts and the proceeds thereof, on a junior basis, as defined in the agreement. The loan carries an effective payment multiplier of 1.42, inclusive of all interest and fees, is repayable in weekly installments, and matures 36 weeks from the effective date, on November 24, 2026.</w:t>
      </w:r>
    </w:p>
    <w:p>
      <w:pPr>
        <w:spacing w:after="0" w:line="1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Other long-term liabilities</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279,966</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269,767</w:t>
            </w:r>
          </w:p>
        </w:tc>
      </w:tr>
      <w:tr>
        <w:trPr>
          <w:trHeight w:val="257"/>
        </w:trPr>
        <w:tc>
          <w:tcPr>
            <w:tcW w:w="660" w:type="dxa"/>
            <w:vAlign w:val="bottom"/>
          </w:tcPr>
          <w:p>
            <w:pPr>
              <w:spacing w:after="0"/>
              <w:rPr>
                <w:sz w:val="22"/>
                <w:szCs w:val="22"/>
                <w:color w:val="auto"/>
              </w:rPr>
            </w:pPr>
          </w:p>
        </w:tc>
        <w:tc>
          <w:tcPr>
            <w:tcW w:w="6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9"/>
                <w:szCs w:val="29"/>
                <w:color w:val="auto"/>
                <w:vertAlign w:val="superscript"/>
              </w:rPr>
              <w:t>(i)</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3,000,000</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1,023,553</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41,687</w:t>
            </w:r>
          </w:p>
        </w:tc>
      </w:tr>
      <w:tr>
        <w:trPr>
          <w:trHeight w:val="283"/>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257,727</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255,197</w:t>
            </w:r>
          </w:p>
        </w:tc>
      </w:tr>
      <w:tr>
        <w:trPr>
          <w:trHeight w:val="196"/>
        </w:trPr>
        <w:tc>
          <w:tcPr>
            <w:tcW w:w="660" w:type="dxa"/>
            <w:vAlign w:val="bottom"/>
          </w:tcPr>
          <w:p>
            <w:pPr>
              <w:spacing w:after="0"/>
              <w:rPr>
                <w:sz w:val="17"/>
                <w:szCs w:val="17"/>
                <w:color w:val="auto"/>
              </w:rPr>
            </w:pPr>
          </w:p>
        </w:tc>
        <w:tc>
          <w:tcPr>
            <w:tcW w:w="6480" w:type="dxa"/>
            <w:vAlign w:val="bottom"/>
            <w:tcBorders>
              <w:top w:val="single" w:sz="8" w:color="CCEEFF"/>
              <w:bottom w:val="single" w:sz="8" w:color="CCEEFF"/>
            </w:tcBorders>
            <w:shd w:val="clear" w:color="auto" w:fill="CCEEFF"/>
          </w:tcPr>
          <w:p>
            <w:pPr>
              <w:spacing w:after="0"/>
              <w:rPr>
                <w:sz w:val="17"/>
                <w:szCs w:val="17"/>
                <w:color w:val="auto"/>
              </w:rPr>
            </w:pP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4,561,246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566,651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60" w:hanging="252"/>
        <w:spacing w:after="0" w:line="266" w:lineRule="auto"/>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payable include SPAC payable of $3,000,000 and $0 as of March 31, 2026 and March 31, 2025, respectively. The Company entered into an extension agreement with one of the parties to the SPAC payable extending the amount payable to July 7, 2027. In the prior year, the payable was included within current liabilities, under accounts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employee benefit plans in the form of certain statutory and other programs covering its employees.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Defined benefit plan (unfunded)</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accordance with Indian law, the Indian Subsidiaries of The Company provides a defined benefit retirement plan (the “Gratuity Plan”) covering substantially all of its Indian employees. The Gratuity Plan provides a lump-sum payment to vested employees upon retirement or termination of employment in an amount based on each employee’s salary and duration of employment with the Company. The Gratuity Plan benefit cost for the year is calculated on an actuarial basis. The Company contributes the required funding for all ascertained liabilities to the Gratuity Plan. There is no plan asset against the defined benefit plan.</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recognized in the Company’s financial statements based on actuarial valuations carried out as of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the beginning of the year</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295,231</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264,527</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19,137</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16,771</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80,969</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75,401</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(43,282)</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(40,582)</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(36,991)</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(15,902)</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(29,202)</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at the end of the year</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302,633</w:t>
            </w:r>
          </w:p>
        </w:tc>
        <w:tc>
          <w:tcPr>
            <w:tcW w:w="32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295,231</w:t>
            </w:r>
          </w:p>
        </w:tc>
        <w:tc>
          <w:tcPr>
            <w:tcW w:w="10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(recorded under accrued expenses and other current liabilities)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22,667</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25,464</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 (recorded under other liabilities)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279,966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269,767</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302,633</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295,231</w:t>
            </w:r>
          </w:p>
        </w:tc>
        <w:tc>
          <w:tcPr>
            <w:tcW w:w="140" w:type="dxa"/>
            <w:vAlign w:val="bottom"/>
          </w:tcPr>
          <w:p>
            <w:pPr>
              <w:spacing w:after="0"/>
              <w:rPr>
                <w:sz w:val="18"/>
                <w:szCs w:val="18"/>
                <w:color w:val="auto"/>
              </w:rPr>
            </w:pPr>
          </w:p>
        </w:tc>
      </w:tr>
      <w:tr>
        <w:trPr>
          <w:trHeight w:val="432"/>
        </w:trPr>
        <w:tc>
          <w:tcPr>
            <w:tcW w:w="6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ind w:left="4800"/>
              <w:spacing w:after="0"/>
              <w:rPr>
                <w:sz w:val="20"/>
                <w:szCs w:val="20"/>
                <w:color w:val="auto"/>
              </w:rPr>
            </w:pPr>
            <w:r>
              <w:rPr>
                <w:rFonts w:ascii="Times New Roman" w:cs="Times New Roman" w:eastAsia="Times New Roman" w:hAnsi="Times New Roman"/>
                <w:sz w:val="18"/>
                <w:szCs w:val="18"/>
                <w:color w:val="auto"/>
              </w:rPr>
              <w:t>F-27</w:t>
            </w: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4" w:name="page145"/>
    <w:bookmarkEnd w:id="144"/>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defined benefit plan costs include the following components for:</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480" w:type="dxa"/>
            <w:vAlign w:val="bottom"/>
          </w:tcPr>
          <w:p>
            <w:pPr>
              <w:spacing w:after="0"/>
              <w:rPr>
                <w:sz w:val="24"/>
                <w:szCs w:val="24"/>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480" w:type="dxa"/>
            <w:vAlign w:val="bottom"/>
          </w:tcPr>
          <w:p>
            <w:pPr>
              <w:spacing w:after="0"/>
              <w:rPr>
                <w:sz w:val="20"/>
                <w:szCs w:val="20"/>
                <w:color w:val="auto"/>
              </w:rPr>
            </w:pP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80,969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75,401</w:t>
            </w:r>
          </w:p>
        </w:tc>
        <w:tc>
          <w:tcPr>
            <w:tcW w:w="80" w:type="dxa"/>
            <w:vAlign w:val="bottom"/>
          </w:tcPr>
          <w:p>
            <w:pPr>
              <w:spacing w:after="0"/>
              <w:rPr>
                <w:sz w:val="18"/>
                <w:szCs w:val="18"/>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(43,282)</w:t>
            </w:r>
          </w:p>
        </w:tc>
        <w:tc>
          <w:tcPr>
            <w:tcW w:w="1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(40,582)</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56,824</w:t>
            </w:r>
          </w:p>
        </w:tc>
        <w:tc>
          <w:tcPr>
            <w:tcW w:w="32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53,429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64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net defined benefit plan cost over the next fiscal year is $22,661.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principal assumptions used in determining gratuity for the Company’s plans are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64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3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Borders>
              <w:bottom w:val="single" w:sz="8" w:color="CCEEFF"/>
            </w:tcBorders>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7.90%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6.99%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per annum</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 5.50%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5.50%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age (in years)</w:t>
            </w:r>
          </w:p>
        </w:tc>
        <w:tc>
          <w:tcPr>
            <w:tcW w:w="1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these assumptions based on projections of the Company’s long-term growth and prevalent industry standards.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expected benefit plan payments set forth below reflect expected future service: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1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09"/>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36,470</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62,036</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62,987</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2032-2036</w:t>
            </w:r>
          </w:p>
        </w:tc>
        <w:tc>
          <w:tcPr>
            <w:tcW w:w="20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497,537</w:t>
            </w:r>
          </w:p>
        </w:tc>
      </w:tr>
      <w:tr>
        <w:trPr>
          <w:trHeight w:val="223"/>
        </w:trPr>
        <w:tc>
          <w:tcPr>
            <w:tcW w:w="8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expected benefit plan payments are based on the same assumptions that were used to measure the Company’s benefit obligations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Indian Subsidiaries of The Company makes contributions to Employee provident fund and Employee state insurance, determined as a specified percentage of employee salaries, in respect of qualifying employees towards defined contribution schemes. During the years March 31, 2026 and March 31, 2025, the Company contributed $71,202 and $135,330 respectively to defined contribution plans in India.</w:t>
      </w:r>
    </w:p>
    <w:p>
      <w:pPr>
        <w:spacing w:after="0" w:line="17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Company was authorized to issue 220,000,000 shares of ordinary shares, $0.0001 par value.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holders of ordinary shares are entitled to receive dividends as declared from time to time and are entitled to one vote per share at meetings of the Company. In the event of liquidation, the holders of ordinary shares are eligible to receive an equal share in the distribution of the surplus assets of the Company based on their percent of ownership.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March 31, 2025, the Company’s ordinary shares outstanding were 79,695,672 and 74,290,986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ordinary shares reserved for future issuance on an as-converted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78"/>
        </w:trPr>
        <w:tc>
          <w:tcPr>
            <w:tcW w:w="660" w:type="dxa"/>
            <w:vAlign w:val="bottom"/>
          </w:tcPr>
          <w:p>
            <w:pPr>
              <w:spacing w:after="0"/>
              <w:rPr>
                <w:sz w:val="15"/>
                <w:szCs w:val="15"/>
                <w:color w:val="auto"/>
              </w:rPr>
            </w:pPr>
          </w:p>
        </w:tc>
        <w:tc>
          <w:tcPr>
            <w:tcW w:w="6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Remaining shares available for future issuance under the Company’s equity incentive</w:t>
            </w:r>
          </w:p>
        </w:tc>
        <w:tc>
          <w:tcPr>
            <w:tcW w:w="1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6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16,376,407</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9,714,986</w:t>
            </w:r>
          </w:p>
        </w:tc>
      </w:tr>
      <w:tr>
        <w:trPr>
          <w:trHeight w:val="234"/>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21,070,276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21,618,972</w:t>
            </w:r>
          </w:p>
        </w:tc>
      </w:tr>
      <w:tr>
        <w:trPr>
          <w:trHeight w:val="41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Warrants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connection with Vahanna’s initial public offering in 2021, 10,004,994 Public Warrants and 9,152,087 warrants were issued. Both Public Warrants and Private Placement Warrants remained outstanding and became warrants to purchase Ordinary Shares in the Company upon the close of the Business Combination. During the quarter ended December 31, 2025 the Company registered the Private Placement Warrants and Ordinary Shares underlying them, thereby removing all restrictions on the Private Placement Warrants. As a result, the Company is no longer differentiating between the Public and Private Placement Warrants and only uses the term Public Warrants.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March 31, 2026, there were 19,157,081 Public Warrants outstanding. No fractional shares will be issued upon exercise of the Public Warrants. Each whole warrant entitles the registered holder to purchase one Ordinary Share at a price of $11.50 per share. The Public Warrants, and Private Placement Warrants when they were initially issued, became exercisable as of October 20, 2023. The Public Warrants will expire five years from the Business Combination or earlier upon redemption or liquidation.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6" w:name="page147"/>
    <w:bookmarkEnd w:id="146"/>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225" w:lineRule="exact"/>
        <w:rPr>
          <w:sz w:val="20"/>
          <w:szCs w:val="20"/>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$0.001 per warrant;</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to each warrant holder; and</w:t>
      </w:r>
    </w:p>
    <w:p>
      <w:pPr>
        <w:spacing w:after="0" w:line="9"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 the notice of redemption to the warrant holders.</w:t>
      </w:r>
    </w:p>
    <w:p>
      <w:pPr>
        <w:spacing w:after="0" w:line="18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w:t>
      </w:r>
    </w:p>
    <w:p>
      <w:pPr>
        <w:spacing w:after="0" w:line="18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As required by the terms of the March 2024 SPA, the Company issued the March 2024 SPA Warrants, including warrants to purchase 50,000 Ordinary Shares to Krishnan-Shah Family Partners, LP, on June 20, 2024, warrants to purchase 50,000 Ordinary Shares to Ms. VedBrat on each of June 20, 2024 and October 20, 2024.</w:t>
      </w:r>
    </w:p>
    <w:p>
      <w:pPr>
        <w:spacing w:after="0" w:line="176"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On May 14, 2024, as required by the terms of the senior secured notes agreement entered with Mizuho in June 30, 2023, the Company issued to Mizuho a warrant to purchase 1,537,086 Ordinary Shares at an exercise price of $0.001 per share (the “Mizuho Warrants”).</w:t>
      </w:r>
    </w:p>
    <w:p>
      <w:pPr>
        <w:spacing w:after="0" w:line="16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December 15, 2024 the Company entered into an underwriting agreement with ThinkEquity LLC and as required by the terms of this agreement, the Company issued warrants to purchase 115,000 shares of the Company at an exercise price of $1.5625 per share (the “Dec ThinkEquity Warrants”).</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January 3, 2025 the Company entered into a placement agency agreement with ThinkEquity LLC and as required by the terms of this agreement, the Company issued warrants to purchase 111,115 Ordinary Shares at an exercise price of $2.8125 per share (the “Jan ThinkEquity Warrants”).</w:t>
      </w:r>
    </w:p>
    <w:p>
      <w:pPr>
        <w:spacing w:after="0" w:line="176"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As of March 31, 2026, there were 150,000 March 2024 SPA Warrants, 1,537,086 Mizuho Warrants and 115,000 Dec ThinkEquity Warrants and 111,115 Jan ThinkEquity Warrants outstanding.</w:t>
      </w:r>
    </w:p>
    <w:p>
      <w:pPr>
        <w:spacing w:after="0" w:line="16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Revenue</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revenue by the Company’s service offerings: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29"/>
        </w:trPr>
        <w:tc>
          <w:tcPr>
            <w:tcW w:w="6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Commission and Distribution Income</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27,746,336</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23,447,282</w:t>
            </w:r>
          </w:p>
        </w:tc>
        <w:tc>
          <w:tcPr>
            <w:tcW w:w="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Insurance as a Service</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27,275,456</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20,848,816</w:t>
            </w:r>
          </w:p>
        </w:tc>
        <w:tc>
          <w:tcPr>
            <w:tcW w:w="80" w:type="dxa"/>
            <w:vAlign w:val="bottom"/>
            <w:shd w:val="clear" w:color="auto" w:fill="CCEEFF"/>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55,021,792</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44,296,098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three customers that individually represented 13%, 10% and 8% of the Company’s revenue for the period ended March 31, 2026 and one customer that individually represents 8% of the Company’s accounts receivable balance as of March 31, 2026.</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three customers that individually represented 14%, 13% and 10% of the Company’s revenue for the year ended March 31, 2025 and one customer that individually represented 23% of the Company’s accounts receivable balance as of March 31,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921,050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1,149,019</w:t>
            </w:r>
          </w:p>
        </w:tc>
        <w:tc>
          <w:tcPr>
            <w:tcW w:w="80" w:type="dxa"/>
            <w:vAlign w:val="bottom"/>
          </w:tcPr>
          <w:p>
            <w:pPr>
              <w:spacing w:after="0"/>
              <w:rPr>
                <w:sz w:val="19"/>
                <w:szCs w:val="19"/>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921,050</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1,149,019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6,626,705</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6,201,942</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 assets</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6,626,705</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6,201,942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Company’s performance. Deferred revenues primarily relate to commission and distribution income and insurance as a service. The amount of revenue recognized for the period ended March 31, 2026 that was included in the deferred revenue balance as of March 31, 2025 was $893,822. The amount of revenue recognized in the year ended March 31, 2025 that was included in the deferred revenue balance as of March 31, 2024 was $656,988.</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the timing of revenue recognition or cash collection and are included in “prepayments and other current assets” in the consolidated balance sheets which will be billed in the month subsequent to the period in which performance obligations were satisfied.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geographical segregation of the revenue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3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32,024,797</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23,424,135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5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11,943,271</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11,564,374</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6,340,221</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9,307,589</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5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4,713,503</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55,021,792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44,296,098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8"/>
                <w:szCs w:val="18"/>
                <w:color w:val="auto"/>
              </w:rPr>
              <w:t>F-31</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combinations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Daokang (Beijing) Data Science Company Ltd.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Roadzen (DE) entered into a joint venture with WI Harper VIII LLP and Shangrao Langtai Daokang Information Technology Co. Ltd. in July 2017, whereby Roadzen (DE) invested $2,500,030 in exchange for a 34.5% equity stake in Daokang. As the Company could not previously obtain reliable, adequate financial information, Daokang was fully impaired as of March 31, 2025 and now reinstated as per the fair valuation along with the incremental investment of $1 million.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2025, and effective April 1, 2025, Roadzen (BVI) and the other shareholders and directors of Daokang agreed to reaffirms Roadzen’s board, governance and management control, including one additional tiebreaking vote in the event of a deadlock, and sole authority to designate Daokang’s Chief Executive Officer who reports directly to the chairman of the board representing Roadzen, Inc. As a result, the Company received the required financial information from Daokang, thereby enabling it to consolidate Daokang’s financial results in the Company’s consolidated financial statements retroactive to April 1, 2025. Daokang represents, and is expected to continue to represent, less than 10% of the Company’s consolidated revenue.</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acquisition has been accounted for as a business combination under ASC 805 using the acquisition method of accounting.</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purchase consideration as determined in the independent valuation report is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 (34.5%) remeasured at acquisition date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1,225,893</w:t>
            </w:r>
          </w:p>
        </w:tc>
        <w:tc>
          <w:tcPr>
            <w:tcW w:w="80" w:type="dxa"/>
            <w:vAlign w:val="bottom"/>
            <w:shd w:val="clear" w:color="auto" w:fill="CCEEFF"/>
          </w:tcPr>
          <w:p>
            <w:pPr>
              <w:spacing w:after="0"/>
              <w:rPr>
                <w:sz w:val="18"/>
                <w:szCs w:val="18"/>
                <w:color w:val="auto"/>
              </w:rPr>
            </w:pPr>
          </w:p>
        </w:tc>
      </w:tr>
      <w:tr>
        <w:trPr>
          <w:trHeight w:val="229"/>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investment to obtain control of Daokang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w:t>
            </w:r>
          </w:p>
        </w:tc>
        <w:tc>
          <w:tcPr>
            <w:tcW w:w="8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32"/>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classes of assets and liabilities to which we have allocated the purchase price were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19,351</w:t>
            </w: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711,730</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3,173,217</w:t>
            </w:r>
          </w:p>
        </w:tc>
        <w:tc>
          <w:tcPr>
            <w:tcW w:w="8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(327,622)</w:t>
            </w: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8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 subsequent to acquisition date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considered for purchase price allocation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4,576,676</w:t>
            </w:r>
          </w:p>
        </w:tc>
        <w:tc>
          <w:tcPr>
            <w:tcW w:w="80" w:type="dxa"/>
            <w:vAlign w:val="bottom"/>
            <w:shd w:val="clear" w:color="auto" w:fill="CCEEFF"/>
          </w:tcPr>
          <w:p>
            <w:pPr>
              <w:spacing w:after="0"/>
              <w:rPr>
                <w:sz w:val="18"/>
                <w:szCs w:val="18"/>
                <w:color w:val="auto"/>
              </w:rPr>
            </w:pPr>
          </w:p>
        </w:tc>
      </w:tr>
      <w:tr>
        <w:trPr>
          <w:trHeight w:val="257"/>
        </w:trPr>
        <w:tc>
          <w:tcPr>
            <w:tcW w:w="9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Gain on bargain purchase </w:t>
            </w:r>
            <w:r>
              <w:rPr>
                <w:rFonts w:ascii="Times New Roman" w:cs="Times New Roman" w:eastAsia="Times New Roman" w:hAnsi="Times New Roman"/>
                <w:sz w:val="29"/>
                <w:szCs w:val="29"/>
                <w:color w:val="auto"/>
                <w:vertAlign w:val="superscript"/>
              </w:rPr>
              <w:t>(i)</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(165,496)</w:t>
            </w:r>
          </w:p>
        </w:tc>
      </w:tr>
      <w:tr>
        <w:trPr>
          <w:trHeight w:val="230"/>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non controlling interest holders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2,185,287</w:t>
            </w:r>
          </w:p>
        </w:tc>
        <w:tc>
          <w:tcPr>
            <w:tcW w:w="80" w:type="dxa"/>
            <w:vAlign w:val="bottom"/>
            <w:shd w:val="clear" w:color="auto" w:fill="CCEEFF"/>
          </w:tcPr>
          <w:p>
            <w:pPr>
              <w:spacing w:after="0"/>
              <w:rPr>
                <w:sz w:val="19"/>
                <w:szCs w:val="19"/>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2,225,893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(i)The gain on bargain purchase presented above is based on the acquisition-date exchange rate (April 1, 2025).</w:t>
      </w:r>
    </w:p>
    <w:p>
      <w:pPr>
        <w:spacing w:after="0" w:line="3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Following are details of the purchase price allocated to the intangible asset acquired:</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38"/>
        </w:trPr>
        <w:tc>
          <w:tcPr>
            <w:tcW w:w="6480" w:type="dxa"/>
            <w:vAlign w:val="bottom"/>
          </w:tcPr>
          <w:p>
            <w:pPr>
              <w:spacing w:after="0"/>
              <w:rPr>
                <w:sz w:val="20"/>
                <w:szCs w:val="20"/>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average life</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 Mobile vehicle insurance survey system</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237,855</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Patent - Mobile vehicle insurance smart dispatch system</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237,855</w:t>
            </w:r>
          </w:p>
        </w:tc>
        <w:tc>
          <w:tcPr>
            <w:tcW w:w="1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 Video Inspection System</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1,749,640</w:t>
            </w:r>
          </w:p>
        </w:tc>
        <w:tc>
          <w:tcPr>
            <w:tcW w:w="18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Software - Insurance Dispatching System</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753,533</w:t>
            </w:r>
          </w:p>
        </w:tc>
        <w:tc>
          <w:tcPr>
            <w:tcW w:w="1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under development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194,334</w:t>
            </w:r>
          </w:p>
        </w:tc>
        <w:tc>
          <w:tcPr>
            <w:tcW w:w="18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EliteCover Insurance Solutions, Inc.</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2025, Roadzen (DE) acquired 55% of the equity interest in EliteCover Insurance Solutions, Inc. (“ECI”) for a total contractual consideration of USD 2,500,000 pursuant to a Stock Purchase Agreement dated October 24, 2025. ECI is a California licensed insurance broker and managing general underwriter holding a Coverholder appointment from Lloyd’s of London. Management has determined that Roadzen obtained control over ECI effective November 30, 2025, being the date from which Roadzen obtained majority voting rights and the ability to direct the relevant activities of ECI. Accordingly, the financial results of ECI have been included in the Company’s consolidated financial statements from November 30, 2025. The acquisition has been accounted for as a business combination under ASC 805 using the acquisition method of accounting.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purchase consideration as determined in the independent valuation report is as follows:</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consideration</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 (milestone based)</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1,390,617</w:t>
            </w:r>
          </w:p>
        </w:tc>
        <w:tc>
          <w:tcPr>
            <w:tcW w:w="80" w:type="dxa"/>
            <w:vAlign w:val="bottom"/>
          </w:tcPr>
          <w:p>
            <w:pPr>
              <w:spacing w:after="0"/>
              <w:rPr>
                <w:sz w:val="19"/>
                <w:szCs w:val="19"/>
                <w:color w:val="auto"/>
              </w:rPr>
            </w:pP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2,390,617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major classes of assets and liabilities to which we have allocated the purchase price were as follows:</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5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16,580</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(470,060)</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 – Customer relationship</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1,470,472</w:t>
            </w:r>
          </w:p>
        </w:tc>
        <w:tc>
          <w:tcPr>
            <w:tcW w:w="80" w:type="dxa"/>
            <w:vAlign w:val="bottom"/>
            <w:shd w:val="clear" w:color="auto" w:fill="CCEEFF"/>
          </w:tcPr>
          <w:p>
            <w:pPr>
              <w:spacing w:after="0"/>
              <w:rPr>
                <w:sz w:val="18"/>
                <w:szCs w:val="18"/>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(169,840)</w:t>
            </w: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847,152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Goodwill (Refer Note 20)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2,001,112</w:t>
            </w:r>
          </w:p>
        </w:tc>
        <w:tc>
          <w:tcPr>
            <w:tcW w:w="80" w:type="dxa"/>
            <w:vAlign w:val="bottom"/>
          </w:tcPr>
          <w:p>
            <w:pPr>
              <w:spacing w:after="0"/>
              <w:rPr>
                <w:sz w:val="18"/>
                <w:szCs w:val="18"/>
                <w:color w:val="auto"/>
              </w:rPr>
            </w:pPr>
          </w:p>
        </w:tc>
      </w:tr>
      <w:tr>
        <w:trPr>
          <w:trHeight w:val="23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non controlling interest holders</w:t>
            </w:r>
          </w:p>
        </w:tc>
        <w:tc>
          <w:tcPr>
            <w:tcW w:w="1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(457,647)</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2,390,617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identifiable intangible assets acquired has been recorded as goodwill and is primarily attributable to the expected synergies from integration of ECI’s licensed insurance distribution infrastructure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Following are details of the purchase price allocated to the intangible asset acquired:</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38"/>
        </w:trPr>
        <w:tc>
          <w:tcPr>
            <w:tcW w:w="6480" w:type="dxa"/>
            <w:vAlign w:val="bottom"/>
          </w:tcPr>
          <w:p>
            <w:pPr>
              <w:spacing w:after="0"/>
              <w:rPr>
                <w:sz w:val="20"/>
                <w:szCs w:val="20"/>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life</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customer contracts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1,470,472</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Houseneed Doorstep Services Private Limited (“VehicleCare”)</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Roadzen Technologies Private Limited (“RTPL”), a wholly owned subsidiary of the Company, acquired 100% of the equity interest in Houseneed Doorstep Services Private Limited, a company that operates its business under the brand “VehicleCare,” for a total consideration of $5,282,380 ($4,408,940 payable in shares of RTPL and $873,440 in cash).</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VehicleCare operates a technology-led vehicle care platform that enables insurers to digitally manage the entire claims and repair journey from claim assessment and approval to repair execution and settlement leveraging artificial intelligence, standardized repair protocols, and a repair-over-replacement philosophy. Management has determined that the Company obtained control over VehicleCare effective January 1, 2026, being the date from which the Company obtained 100% equity ownership and the ability to direct the relevant activities of the company. Accordingly, the financial results of VehicleCare have been included in the Company’s consolidated financial statements from January 1, 2026. The acquisition has been accounted for as a business combination under ASC 805 using the acquisition method of accounting.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purchase consideration as determined in the independent valuation report is as follows: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895,665</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via issuance of equity shares</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4,520,579</w:t>
            </w: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5,416,244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major classes of assets and liabilities to which we have allocated the purchase price were as follows: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(918,562)</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3,256,733</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(553,163)</w:t>
            </w: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1,790,177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Goodwill (Refer Note 20)</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3,626,067</w:t>
            </w: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5,416,244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8"/>
                <w:szCs w:val="18"/>
                <w:color w:val="auto"/>
              </w:rPr>
              <w:t>F-33</w:t>
            </w: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identifiable intangible assets acquired has been recorded as goodwill and is primarily attributable to the expected synergies from integration of VehicleCare’s technology platform and infrastructure into the Company’s broader insurtech ecosystem.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Following are details of the purchase price allocated to the intangible asset acquired:</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life</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 VehicleCare AI claims and repair management platform</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3,256,733</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Goodwill</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changes in carrying value of goodwill is as follows: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2,061,553</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2,061,553</w:t>
            </w:r>
          </w:p>
        </w:tc>
      </w:tr>
      <w:tr>
        <w:trPr>
          <w:trHeight w:val="216"/>
        </w:trPr>
        <w:tc>
          <w:tcPr>
            <w:tcW w:w="6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Goodwill relating to acquisitions consummated</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5,627,178</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on account of consolidation of stepdown subsidiary</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244,319</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(316,076)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7,616,973</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2,061,553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Financial instruments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measures its convertible promissory notes and Forward Purchase Agreement asset at fair value. The Company’s convertible promissory notes are categorized as Level 1 because they are measured based on observable listed prices of such instruments. The Forward Purchase Agreement is categorized as Level 3 because of unobservable inputs and other estimation techniques due to the absence of quoted market prices, inherent lack of liquidity and the tenure of such financial instruments.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fair value hierarchy for the Company’s financial instruments measured at fair value on a recurring basis as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Fair Value Measured using</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1,987,003</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1,987,003</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16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1,029,374</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1,029,374</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6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12,205,415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12,205,415-</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3,016,377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12,205,415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15,221,792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F-34</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Fair Value Measured using</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purchase agreement</w:t>
            </w:r>
          </w:p>
        </w:tc>
        <w:tc>
          <w:tcPr>
            <w:tcW w:w="16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6,800,000</w:t>
            </w:r>
          </w:p>
        </w:tc>
      </w:tr>
      <w:tr>
        <w:trPr>
          <w:trHeight w:val="223"/>
        </w:trPr>
        <w:tc>
          <w:tcPr>
            <w:tcW w:w="3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uses a third-party valuation specialist to assist management in its determination of the fair value of its Level 2 classified derivative warrant liabilities and convertible promissory notes. The fair value of these financial instruments is based on the volatility of its ordinary share warrants, based on implied volatility from the Company’s traded warrants and from historical volatility of select peer companies Ordinary Shares that matches the expected remaining life of the warrants.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uses a third party valuation specialist to assist management in its determination of the fair value of its Level 3 classified Convertible Notes and Forward Purchase Agreement. The instruments were fair valued using a Monte Carlo simulation model utilizing assumptions related to the contractual term of the instruments and current interest rates.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Level 3 financial instruments measured and recorded at fair value on a recurring basis as of March 31, 2026 for Financial Asset: Forwards Purchase Agreement, and for Financial Liability: Convertible Promissory notes and Convertible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Financial liability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Financial liability</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purchase agreement</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Promissory Notes</w:t>
            </w:r>
          </w:p>
        </w:tc>
        <w:tc>
          <w:tcPr>
            <w:tcW w:w="14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measurement</w:t>
            </w:r>
          </w:p>
        </w:tc>
        <w:tc>
          <w:tcPr>
            <w:tcW w:w="3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46,190,195</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11,111,110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1,029,374</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Cash receipt</w:t>
            </w:r>
          </w:p>
        </w:tc>
        <w:tc>
          <w:tcPr>
            <w:tcW w:w="3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4,790,633</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(44,180,828)</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1,094,305</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6,800,000</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12,205,415</w:t>
            </w:r>
          </w:p>
        </w:tc>
        <w:tc>
          <w:tcPr>
            <w:tcW w:w="3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1780"/>
              <w:spacing w:after="0"/>
              <w:rPr>
                <w:sz w:val="20"/>
                <w:szCs w:val="20"/>
                <w:color w:val="auto"/>
              </w:rPr>
            </w:pPr>
            <w:r>
              <w:rPr>
                <w:rFonts w:ascii="Times New Roman" w:cs="Times New Roman" w:eastAsia="Times New Roman" w:hAnsi="Times New Roman"/>
                <w:sz w:val="18"/>
                <w:szCs w:val="18"/>
                <w:color w:val="auto"/>
              </w:rPr>
              <w:t>F-35</w:t>
            </w: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adjusted to fair value when an impairment charge is recognized. Such fair value measurements are based predominately on Level 3 inputs.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measures its non-marketable equity securities that do not have readily determinable fair values under the measurement alternative at cost less impairment, adjusted by price changes from observable transactions recorded within “Other income/(expense) net” in the consolidated statements of operations. The Company’s non-marketable equity securities are investments in privately held companies without readily determinable fair values and primarily relate to its investment in Daokang and Moonshot. The Company recorded an impairment loss on its non-marketable equity securities, as more briefly discussed in note 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Management of risks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rate risk - </w:t>
      </w:r>
      <w:r>
        <w:rPr>
          <w:rFonts w:ascii="Times New Roman" w:cs="Times New Roman" w:eastAsia="Times New Roman" w:hAnsi="Times New Roman"/>
          <w:sz w:val="18"/>
          <w:szCs w:val="18"/>
          <w:color w:val="auto"/>
        </w:rPr>
        <w:t>Interest rate risk is the risk that the fair value of future cash flows of a financial instrument will fluctuate due to change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interest rates. The Company is exposed to interest rate risk for its long- term debts where the interest rates are variable according to the market conditions.</w:t>
      </w:r>
    </w:p>
    <w:p>
      <w:pPr>
        <w:spacing w:after="0" w:line="171"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risk </w:t>
      </w:r>
      <w:r>
        <w:rPr>
          <w:rFonts w:ascii="Times New Roman" w:cs="Times New Roman" w:eastAsia="Times New Roman" w:hAnsi="Times New Roman"/>
          <w:sz w:val="18"/>
          <w:szCs w:val="18"/>
          <w:color w:val="auto"/>
        </w:rPr>
        <w:t>- The Company monitors its foreign currency exposures on a regular basis. The operations are primarily denominated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Dollars, Pounds Sterling, Indian Rupees, Chinese Renminbi and Euros. For the purpose of analyzing foreign currency exchange risk, we considered the historical trends in foreign currency exchange rates. Based on a sensitivity analysis we have performed as of March 31, 2026, an adverse 10% foreign currency exchange rate change applied to total monetary assets and liabilities denominated in currencies other than the United States Dollar would not have a material effect on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Investments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These balances include certain investments in mutual funds that are recorded at fair value. Any changes to the fair value are recorded in “Fair value gains/(losses) in financial instruments carried at fair value” due to the election of the fair value option of accounting for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Leases - Accounted as per ASC 842 for the Period Ended March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office space under non-cancellable operating lease agreements, which expire on various dates through January 2033. Some property leases contain extension options exercisable by the Company. The lease agreements do not contain any material residual value guarantees or material restrictive covenants. The components of lease cost for the period ended March 31, 2026 are summarized below:</w:t>
      </w:r>
    </w:p>
    <w:p>
      <w:pPr>
        <w:sectPr>
          <w:pgSz w:w="11900" w:h="16838" w:orient="portrait"/>
          <w:cols w:equalWidth="0" w:num="1">
            <w:col w:w="11240"/>
          </w:cols>
          <w:pgMar w:left="320" w:top="684"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The following tables presents the various components of lease costs: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626225"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 :</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626225"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662622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288"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For the Year ended</w:t>
      </w:r>
    </w:p>
    <w:p>
      <w:pPr>
        <w:spacing w:after="0" w:line="4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2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489,471</w:t>
      </w:r>
    </w:p>
    <w:p>
      <w:pPr>
        <w:spacing w:after="0" w:line="2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240,015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11226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729,486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19685</wp:posOffset>
            </wp:positionV>
            <wp:extent cx="11226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36830</wp:posOffset>
            </wp:positionV>
            <wp:extent cx="11226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ectPr>
          <w:pgSz w:w="11900" w:h="16838" w:orient="portrait"/>
          <w:cols w:equalWidth="0" w:num="2">
            <w:col w:w="8660" w:space="720"/>
            <w:col w:w="1860"/>
          </w:cols>
          <w:pgMar w:left="320" w:top="684" w:right="339"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jc w:val="both"/>
        <w:ind w:firstLine="8"/>
        <w:spacing w:after="0" w:line="268" w:lineRule="auto"/>
        <w:tabs>
          <w:tab w:leader="none" w:pos="23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table presents supplemental information relating to the cash flow and non cash flows arising from lease transactions. Cash payments related to short-term leases are not included in the measurement of operating liabilities, and, as such, are excluded from the amounts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r>
      <w:tr>
        <w:trPr>
          <w:trHeight w:val="238"/>
        </w:trPr>
        <w:tc>
          <w:tcPr>
            <w:tcW w:w="66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09"/>
        </w:trPr>
        <w:tc>
          <w:tcPr>
            <w:tcW w:w="66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357,314</w:t>
            </w:r>
          </w:p>
        </w:tc>
      </w:tr>
      <w:tr>
        <w:trPr>
          <w:trHeight w:val="41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iii) Balance sheet information related to leases are as follows: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626225"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6626225" cy="14541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Operating Lease ROU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662622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 term liabilities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 liabilities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62622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6626225"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Weighted Average</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2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1,374,147</w:t>
      </w:r>
    </w:p>
    <w:p>
      <w:pPr>
        <w:spacing w:after="0" w:line="2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325,255</w:t>
      </w:r>
    </w:p>
    <w:p>
      <w:pPr>
        <w:spacing w:after="0" w:line="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699,817</w:t>
      </w:r>
    </w:p>
    <w:p>
      <w:pPr>
        <w:spacing w:after="0" w:line="2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1,025,072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36830</wp:posOffset>
            </wp:positionV>
            <wp:extent cx="11226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For the Year ended</w:t>
      </w:r>
    </w:p>
    <w:p>
      <w:pPr>
        <w:spacing w:after="0" w:line="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11144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1920"/>
          </w:cols>
          <w:pgMar w:left="320" w:top="684"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14.80%</w:t>
            </w:r>
          </w:p>
        </w:tc>
      </w:tr>
      <w:tr>
        <w:trPr>
          <w:trHeight w:val="41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 Maturities of lease liabilities were as follows:</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66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Liabilities (USD)*</w:t>
            </w:r>
          </w:p>
        </w:tc>
      </w:tr>
      <w:tr>
        <w:trPr>
          <w:trHeight w:val="210"/>
        </w:trPr>
        <w:tc>
          <w:tcPr>
            <w:tcW w:w="66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Period Ended March 31, 2026</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471,894</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260,349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220,472</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200,304</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86,301</w:t>
            </w:r>
          </w:p>
        </w:tc>
      </w:tr>
      <w:tr>
        <w:trPr>
          <w:trHeight w:val="216"/>
        </w:trPr>
        <w:tc>
          <w:tcPr>
            <w:tcW w:w="66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39,513</w:t>
            </w:r>
          </w:p>
        </w:tc>
      </w:tr>
      <w:tr>
        <w:trPr>
          <w:trHeight w:val="216"/>
        </w:trPr>
        <w:tc>
          <w:tcPr>
            <w:tcW w:w="6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1,278,833</w:t>
            </w: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(253,761)</w:t>
            </w:r>
          </w:p>
        </w:tc>
      </w:tr>
      <w:tr>
        <w:trPr>
          <w:trHeight w:val="223"/>
        </w:trPr>
        <w:tc>
          <w:tcPr>
            <w:tcW w:w="66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1,025,072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hanging="192"/>
        <w:spacing w:after="0"/>
        <w:tabs>
          <w:tab w:leader="none" w:pos="38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lease liabilities are translated into U.S. Dollars using the closing rate for the period ended March 31, 2026</w:t>
      </w:r>
    </w:p>
    <w:p>
      <w:pPr>
        <w:spacing w:after="0" w:line="223"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C. Litigation and loss contingencies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Indemnifications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customers, business partners, and other parties with respect to certain matters, including losses arising out of intellectual property infringement claims made by third parties, if the Company has violated applicable laws, if the Company is negligent or commits acts of willful misconduct, and other liabilities with respect to its products and services and its business. In these circumstances, payment is typically conditional on the other party making a claim pursuant to the procedures specified in the particular contract. To date, the Company has not incurred any material costs as a result of such indemnifications and has not accrued any liabilities related to such obligations in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Net loss per share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ordinary shareholders is computed by dividing the net loss by the number of weighted-average outstanding ordinary shares. Diluted net loss per share attributable to ordinary shareholders is determined by giving effect to all potential common equivalents during the reporting period, unless including them yields an antidilutive result. The Company considers its preferred stocks, convertible notes and share warrants as potential common equivalents, but excluded them from the computation of diluted net loss per share attributable to ordinary shareholders in the periods presented, as their effect was antidilutive.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loss per share attributable to ordinary shareholders and preferred stock holders: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29"/>
        </w:trPr>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(22,516,222)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(72,870,432)</w:t>
            </w:r>
          </w:p>
        </w:tc>
      </w:tr>
      <w:tr>
        <w:trPr>
          <w:trHeight w:val="223"/>
        </w:trPr>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Roadzen Inc. ordinary shareholders</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(22,516,222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(72,870,432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626225" cy="282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6626225" cy="282575"/>
                    </a:xfrm>
                    <a:prstGeom prst="rect">
                      <a:avLst/>
                    </a:prstGeom>
                    <a:noFill/>
                  </pic:spPr>
                </pic:pic>
              </a:graphicData>
            </a:graphic>
          </wp:anchor>
        </w:drawing>
      </w:r>
    </w:p>
    <w:p>
      <w:pPr>
        <w:ind w:left="660" w:right="540"/>
        <w:spacing w:after="0" w:line="250" w:lineRule="auto"/>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Roadzen Inc. ordinary shareholders - basic and diluted</w:t>
      </w:r>
    </w:p>
    <w:p>
      <w:pPr>
        <w:spacing w:after="0" w:line="1" w:lineRule="exact"/>
        <w:rPr>
          <w:sz w:val="20"/>
          <w:szCs w:val="20"/>
          <w:color w:val="auto"/>
        </w:rPr>
      </w:pPr>
    </w:p>
    <w:p>
      <w:pPr>
        <w:ind w:left="660" w:right="960"/>
        <w:spacing w:after="0" w:line="276" w:lineRule="auto"/>
        <w:rPr>
          <w:sz w:val="20"/>
          <w:szCs w:val="20"/>
          <w:color w:val="auto"/>
        </w:rPr>
      </w:pPr>
      <w:r>
        <w:rPr>
          <w:rFonts w:ascii="Times New Roman" w:cs="Times New Roman" w:eastAsia="Times New Roman" w:hAnsi="Times New Roman"/>
          <w:sz w:val="18"/>
          <w:szCs w:val="18"/>
          <w:color w:val="auto"/>
        </w:rPr>
        <w:t>Net loss per share attributable to Roadzen Inc. ordinary shareholders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77,454,509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17145</wp:posOffset>
            </wp:positionV>
            <wp:extent cx="11315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36830</wp:posOffset>
            </wp:positionV>
            <wp:extent cx="11315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53975</wp:posOffset>
            </wp:positionV>
            <wp:extent cx="11315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69,867,792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17145</wp:posOffset>
            </wp:positionV>
            <wp:extent cx="11144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1"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36830</wp:posOffset>
            </wp:positionV>
            <wp:extent cx="11144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53975</wp:posOffset>
            </wp:positionV>
            <wp:extent cx="11144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3">
            <w:col w:w="7380" w:space="720"/>
            <w:col w:w="1360" w:space="720"/>
            <w:col w:w="1060"/>
          </w:cols>
          <w:pgMar w:left="320" w:top="684" w:right="339" w:bottom="1440" w:gutter="0" w:footer="0" w:header="0"/>
          <w:type w:val="continuous"/>
        </w:sectPr>
      </w:pPr>
    </w:p>
    <w:p>
      <w:pPr>
        <w:spacing w:after="0" w:line="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potential dilutive securities, which include restricted stock units, convertible instruments and share warrants have been excluded from the computation of diluted net loss per share as the effect would be anti- dilutive. Therefore, the weighted average number of ordinary shares outstanding used to calculate both basic and diluted net loss per share is the same.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excluded the following potential common shares from the computation of diluted net loss per share as of March 31, 2026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warrants</w:t>
            </w:r>
          </w:p>
        </w:tc>
        <w:tc>
          <w:tcPr>
            <w:tcW w:w="3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21,070,282</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21,618,972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11,071,966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9,714,986</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instruments</w:t>
            </w:r>
          </w:p>
        </w:tc>
        <w:tc>
          <w:tcPr>
            <w:tcW w:w="5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8,112,875</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54,542</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40,255,123</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31,388,500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4"/>
          </w:tcPr>
          <w:p>
            <w:pPr>
              <w:ind w:left="1540"/>
              <w:spacing w:after="0"/>
              <w:rPr>
                <w:sz w:val="20"/>
                <w:szCs w:val="20"/>
                <w:color w:val="auto"/>
              </w:rPr>
            </w:pPr>
            <w:r>
              <w:rPr>
                <w:rFonts w:ascii="Times New Roman" w:cs="Times New Roman" w:eastAsia="Times New Roman" w:hAnsi="Times New Roman"/>
                <w:sz w:val="18"/>
                <w:szCs w:val="18"/>
                <w:color w:val="auto"/>
              </w:rPr>
              <w:t>F-38</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net loss before provision for income taxes for the year ended March 31, 2026 and March 31, 2025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6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4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(13,594,242)</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2"/>
              </w:rPr>
              <w:t>(46,945,010)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(9,402,708)</w:t>
            </w: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(26,132,274)</w:t>
            </w:r>
          </w:p>
        </w:tc>
      </w:tr>
      <w:tr>
        <w:trPr>
          <w:trHeight w:val="223"/>
        </w:trPr>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(22,996,950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(73,077,284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period ended March 31, 2026 and March 31, 2025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6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4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53,058</w:t>
            </w:r>
          </w:p>
        </w:tc>
      </w:tr>
      <w:tr>
        <w:trPr>
          <w:trHeight w:val="22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34,515</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34,515</w:t>
            </w:r>
          </w:p>
        </w:tc>
        <w:tc>
          <w:tcPr>
            <w:tcW w:w="320" w:type="dxa"/>
            <w:vAlign w:val="bottom"/>
            <w:tcBorders>
              <w:bottom w:val="single" w:sz="8" w:color="CCEEFF"/>
            </w:tcBorders>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53,058</w:t>
            </w:r>
          </w:p>
        </w:tc>
        <w:tc>
          <w:tcPr>
            <w:tcW w:w="100" w:type="dxa"/>
            <w:vAlign w:val="bottom"/>
            <w:tcBorders>
              <w:bottom w:val="single" w:sz="8" w:color="CCEEFF"/>
            </w:tcBorders>
          </w:tcPr>
          <w:p>
            <w:pPr>
              <w:spacing w:after="0"/>
              <w:rPr>
                <w:sz w:val="22"/>
                <w:szCs w:val="22"/>
                <w:color w:val="auto"/>
              </w:rPr>
            </w:pPr>
          </w:p>
        </w:tc>
      </w:tr>
      <w:tr>
        <w:trPr>
          <w:trHeight w:val="197"/>
        </w:trPr>
        <w:tc>
          <w:tcPr>
            <w:tcW w:w="6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(14,303)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(67,031)</w:t>
            </w:r>
          </w:p>
        </w:tc>
      </w:tr>
      <w:tr>
        <w:trPr>
          <w:trHeight w:val="223"/>
        </w:trPr>
        <w:tc>
          <w:tcPr>
            <w:tcW w:w="6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23"/>
        </w:trPr>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20,212</w:t>
            </w:r>
          </w:p>
        </w:tc>
        <w:tc>
          <w:tcPr>
            <w:tcW w:w="3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federal statutory income tax rate to the Company’s effective tax rate for the year ended March 31, 2026 and March 31, 2025:</w:t>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9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9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1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4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CCEEFF"/>
            </w:tcBorders>
          </w:tcPr>
          <w:p>
            <w:pPr>
              <w:spacing w:after="0"/>
              <w:rPr>
                <w:sz w:val="20"/>
                <w:szCs w:val="20"/>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statutory income tax rate</w:t>
            </w:r>
          </w:p>
        </w:tc>
        <w:tc>
          <w:tcPr>
            <w:tcW w:w="2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deductible expenses</w:t>
            </w:r>
          </w:p>
        </w:tc>
        <w:tc>
          <w:tcPr>
            <w:tcW w:w="2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(24.34)%</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3.34%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warrants</w:t>
            </w:r>
          </w:p>
        </w:tc>
        <w:tc>
          <w:tcPr>
            <w:tcW w:w="2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23"/>
        </w:trPr>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as of the year ended March 31, 2026 and year ended March 31, 2025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42,531,831</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41,091,266</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Unabsorbed depreciation carry forwards</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133,065</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121,285</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81,776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29,164</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74,937</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(36,639)</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(325,774)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42,739,197</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40,976,923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(42,739,197)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(40,976,923)</w:t>
            </w:r>
          </w:p>
        </w:tc>
        <w:tc>
          <w:tcPr>
            <w:tcW w:w="14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23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on account of business combination</w:t>
            </w:r>
          </w:p>
        </w:tc>
        <w:tc>
          <w:tcPr>
            <w:tcW w:w="44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(1,023,553)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23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(1,023,553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3361"/>
              <w:spacing w:after="0"/>
              <w:rPr>
                <w:sz w:val="20"/>
                <w:szCs w:val="20"/>
                <w:color w:val="auto"/>
              </w:rPr>
            </w:pPr>
            <w:r>
              <w:rPr>
                <w:rFonts w:ascii="Times New Roman" w:cs="Times New Roman" w:eastAsia="Times New Roman" w:hAnsi="Times New Roman"/>
                <w:sz w:val="18"/>
                <w:szCs w:val="18"/>
                <w:color w:val="auto"/>
              </w:rPr>
              <w:t>F-39</w:t>
            </w: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919"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Movement recognized in net deferred tax assets:</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reversed</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statements of</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translation and</w:t>
            </w:r>
          </w:p>
        </w:tc>
        <w:tc>
          <w:tcPr>
            <w:tcW w:w="14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4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41,091,266</w:t>
            </w:r>
          </w:p>
        </w:tc>
        <w:tc>
          <w:tcPr>
            <w:tcW w:w="17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1,440,565</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42,531,831</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Unabsorbed depreciation carry forwards</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121,285</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11,780</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133,065</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15,209</w:t>
            </w:r>
          </w:p>
        </w:tc>
        <w:tc>
          <w:tcPr>
            <w:tcW w:w="17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66,566</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81,776</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74,937</w:t>
            </w:r>
          </w:p>
        </w:tc>
        <w:tc>
          <w:tcPr>
            <w:tcW w:w="1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(45,773)</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29,164</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(325,774)</w:t>
            </w:r>
          </w:p>
        </w:tc>
        <w:tc>
          <w:tcPr>
            <w:tcW w:w="17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289,135</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40,976,923</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1,762,274</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42,739,197</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(40,976,923)</w:t>
            </w:r>
          </w:p>
        </w:tc>
        <w:tc>
          <w:tcPr>
            <w:tcW w:w="1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(1,762,274)</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(42,739,197)</w:t>
            </w: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on account of business combination</w:t>
            </w: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(41,688)</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72,422</w:t>
            </w:r>
          </w:p>
        </w:tc>
        <w:tc>
          <w:tcPr>
            <w:tcW w:w="1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(1,054,287)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(1,023,553)</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Deconsolidation</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(41,688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72,422</w:t>
            </w:r>
          </w:p>
        </w:tc>
        <w:tc>
          <w:tcPr>
            <w:tcW w:w="3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(1,054,287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(1,023,553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0"/>
        </w:trPr>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reversed</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16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6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of operations</w:t>
            </w:r>
          </w:p>
        </w:tc>
        <w:tc>
          <w:tcPr>
            <w:tcW w:w="16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and acquisitions</w:t>
            </w:r>
          </w:p>
        </w:tc>
        <w:tc>
          <w:tcPr>
            <w:tcW w:w="14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4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25,515,511</w:t>
            </w:r>
          </w:p>
        </w:tc>
        <w:tc>
          <w:tcPr>
            <w:tcW w:w="17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15,575,755</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41,091,266</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Unabsorbed depreciation carry forwards</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76,126</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45,159</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121,285</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72,349</w:t>
            </w:r>
          </w:p>
        </w:tc>
        <w:tc>
          <w:tcPr>
            <w:tcW w:w="1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(57,140)</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15,209</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109,299</w:t>
            </w:r>
          </w:p>
        </w:tc>
        <w:tc>
          <w:tcPr>
            <w:tcW w:w="17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(34,362)</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74,937</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244,136</w:t>
            </w:r>
          </w:p>
        </w:tc>
        <w:tc>
          <w:tcPr>
            <w:tcW w:w="1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(569,910)</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26,017,421</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14,959,502</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40,976,923</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(25,995,368)</w:t>
            </w:r>
          </w:p>
        </w:tc>
        <w:tc>
          <w:tcPr>
            <w:tcW w:w="1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(14,981,555)</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(40,976,923)</w:t>
            </w:r>
          </w:p>
        </w:tc>
        <w:tc>
          <w:tcPr>
            <w:tcW w:w="1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22,053</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(22,053</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on account of business combination</w:t>
            </w: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(263,665)</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221,977</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(284,598)</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284,598</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635,965</w:t>
            </w:r>
          </w:p>
        </w:tc>
        <w:tc>
          <w:tcPr>
            <w:tcW w:w="1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(635,965)</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(241,612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551,291</w:t>
            </w:r>
          </w:p>
        </w:tc>
        <w:tc>
          <w:tcPr>
            <w:tcW w:w="3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(351,367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F-40</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7" w:name="page158"/>
    <w:bookmarkEnd w:id="157"/>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deferred tax assets for recoverability based on historical taxable income, projected future taxable income, the expected timing of the reversals of existing taxable temporary differences and tax planning strategies. The Company’s judgement regarding future profitability may change due to many factors, including future market conditions and the ability to successfully execute the business plans and/or tax planning strategies. Should there be a change in the intangible on account of business combination ability to recover deferred tax assets, the Company’s income tax provision would increase or decrease in the period in which the assessment is changed. The Company’s valuation allowance increased by $1,762,274 during the period ended March 31, 2026 and $14,981,556 during the year ended March 31,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provided U.S. income taxes and foreign withholding taxes on undistributed earnings of foreign subsidiaries because the Company intends to permanently reinvest such earnings outside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credit carry forwards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has U.S. federal net operating loss carry forwards of approximately $42,531,831 of which none are subject to limitation under Internal Revenue Code Section 382 (IRC Section 382). The federal net operating loss carry forwards that were generated prior to the 2018 tax year will begin to expire in 2030 if not utilized. For net operating loss carry forwards arising in tax years beginning after March 31, 2017, the tax act limits the Company’s ability to utilize carry forwards to 80% of taxable income, however, these operating losses may be carried forward indefinitely. The state (Delaware) net operating loss carry forwards will begin to expire in 2032 if not utilized. The Company has foreign tax credits which will expire at the end of 8 years from the end of the assessment year in which these tax credits were originated.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net operating loss carry forwards may be subject to a substantial annual limitation due to the ownership change provisions of IRC Section 382 and similar state provisions. The annual limitation may result in the inability to fully offset future annual taxable income and could result in the expiration of net operating loss carry forwards before utilization. The Company continually reviews the impact to net operating losses of any ownership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authoritative guidance which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 The Company did not have any unrecognized tax benefits with a significant impact on its financial statements as of March 31, 2026 and March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major tax jurisdictions are India, the United Kingdom and the U.S. The U.S. federal, state and foreign jurisdictions have statutes of limitations that generally range from three to six years. Due to the Company’s net losses, substantially all of its federal and state income tax returns are subject to examination for federal and state purposes.</w:t>
      </w:r>
    </w:p>
    <w:p>
      <w:pPr>
        <w:spacing w:after="0" w:line="17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Segment reporting</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Executive Officer as the chief operating decision maker (“CODM”) in deciding how to allocate resources and in assessing performance. The Company’s CODM reviews financial information presented on a consolidated basis for the purposes of making operating decisions, fund raising, allocating resources and evaluating financial performance. Accordingly, the Company has determined that it operates in a single reporting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Stock based compensation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share-based compensation awards issued under the Company’s 2023 Omnibus Incentive Plan to the Company’s employees, officers, directors, are all equity-classified instruments Restricted stock units (“RSUs”) outstanding as of March 31, 2026 have service vesting conditions up to March 2027. Compensation expenses are based on the grant-date fair value of the awards and recognized over the requisite service period using a straight-line method for stock options and a graded vesting method for RSUs. The Company has elected to account for forfeitures of employee stock awards as they occur.</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Share-based compensation is in the form of restricted stock units (RSUs). The fair value per RSU is calculated using the Black-Scholes option valuation model.</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 value and assumption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(as of grant date)</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30.82%</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r>
      <w:tr>
        <w:trPr>
          <w:trHeight w:val="410"/>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 vesting schedule for year ended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10"/>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9,765,148</w:t>
            </w:r>
          </w:p>
        </w:tc>
        <w:tc>
          <w:tcPr>
            <w:tcW w:w="100" w:type="dxa"/>
            <w:vAlign w:val="bottom"/>
            <w:tcBorders>
              <w:top w:val="single" w:sz="8" w:color="CCEEFF"/>
            </w:tcBorders>
            <w:shd w:val="clear" w:color="auto" w:fill="CCEEFF"/>
          </w:tcPr>
          <w:p>
            <w:pPr>
              <w:spacing w:after="0"/>
              <w:rPr>
                <w:sz w:val="18"/>
                <w:szCs w:val="18"/>
                <w:color w:val="auto"/>
              </w:rPr>
            </w:pPr>
          </w:p>
        </w:tc>
      </w:tr>
      <w:tr>
        <w:trPr>
          <w:trHeight w:val="410"/>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10"/>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unvested units (as of April 01, 2024)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379,923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but not exercised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237,695</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Closing unvested units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9,765,148</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RSUs granted to employees was $497,806 for the period ended March 31, 2026. As of March 31, 2026, the unrecognized compensation expense related to unvested RSUs was approximately $139,617 which is expected to be recognized over the remaining unvested period of these RSU’s.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 except share count)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18, 2023, prior to the Business Combination, Roadzen DE granted 9,903,500 restricted stock units (“RSUs”) under the 2023</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Omnibus Incentive Plan. These RSUs were initially scheduled to vest on the one-year anniversary of the grant date, September 17,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Subsequently, the Board of Directors of Roadzen (BVI) approved an extension of the vesting period by one additional year to September 17, 2025.</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the vesting period for a majority of the RSUs granted was further extended by an additional year to September 17, 2026.</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the reporting date, of the RSUs granted as described above, 9,507,920 RSUs remain outstanding and unvested. Based on the current market price of the Company’s Ordinary Shares and the revised vesting timeline, management has determined that the extensions of the vesting period do not result in the recognition of any incremental stock-based compensation expense in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Subsequent events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April 1, 2026 through the date these consolidated financial statements were available to be issued and identified the following events requiring disclosure:</w:t>
      </w:r>
    </w:p>
    <w:p>
      <w:pPr>
        <w:spacing w:after="0" w:line="162" w:lineRule="exact"/>
        <w:rPr>
          <w:sz w:val="20"/>
          <w:szCs w:val="20"/>
          <w:color w:val="auto"/>
        </w:rPr>
      </w:pPr>
    </w:p>
    <w:p>
      <w:pPr>
        <w:jc w:val="both"/>
        <w:ind w:left="660" w:hanging="4"/>
        <w:spacing w:after="0" w:line="253" w:lineRule="auto"/>
        <w:tabs>
          <w:tab w:leader="none" w:pos="87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22, 2026, the Company entered into a third amendment (the “Third Amendment”) addressing the November 2025 Notes and the January 2026 Notes. Among other things, the Third Amendment amends the November 2025 Notes to (i) change the dates on which the “Installment Amounts” otherwise due under the November 2025 Notes on April 21, 2026 and May 21, 2026 are due to July 20, 2026, (ii) add a provision that would adjust the “Conversion Price” of the November 2025 Note in the event of certain equity financings below the Conversion Price then in effect, equivalent to the provision in the January 2026 Notes and (iii) remove the provision that required the Company to use up to 25% of the net proceeds of “Subsequent Placements” to redeem all or a portion of the November 2025 Notes. The Third Amendment also (i) changes the date on which the “Installment Amount” otherwise due under the January 2026 Notes on May 20, 2026 is due to July 20, 2026, and (ii) extends the termination date of the Investor’s right to participate in certain financings by the Company to December 20, 2027. Also pursuant to the Third Amendment, the Company is required to use commercially reasonable efforts to obtain the approval, for purposes of Nasdaq Listing Rules, of its shareholders to issue a number of its Ordinary Shares upon conversion of the November 2025 Notes and the January 2026 Notes in excess of 20% of the total number of ordinary shares outstanding as of November 20, 2025.</w:t>
      </w:r>
    </w:p>
    <w:p>
      <w:pPr>
        <w:spacing w:after="0" w:line="191" w:lineRule="exact"/>
        <w:rPr>
          <w:rFonts w:ascii="Times New Roman" w:cs="Times New Roman" w:eastAsia="Times New Roman" w:hAnsi="Times New Roman"/>
          <w:sz w:val="18"/>
          <w:szCs w:val="18"/>
          <w:color w:val="auto"/>
        </w:rPr>
      </w:pPr>
    </w:p>
    <w:p>
      <w:pPr>
        <w:ind w:left="660" w:hanging="4"/>
        <w:spacing w:after="0" w:line="282" w:lineRule="auto"/>
        <w:tabs>
          <w:tab w:leader="none" w:pos="8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26, 2026, but effective March 1, 2026, Roadzen (DE) and Mizuho executed a definitive amendment further extending the maturity date of the facility to July 7, 2027. There were no changes to the terms of the Senior Secured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Approval of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have been approved by the Board of Directors at its meeting held on June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Rohan Malhotra</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Rohan Malhotra</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Rohan Malhotra</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Rohan Malhotra</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Jean-Noël Gallardo</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Jean-Noël Gallardo</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Steven Carlson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Carlson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Saurav Adhikari</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Saurav Adhikari</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Supurna VedBrat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Supurna VedBrat</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Zoë Ashcroft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Zoë Ashcroft</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Diane B. Glossman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2026</w:t>
            </w:r>
          </w:p>
        </w:tc>
      </w:tr>
      <w:tr>
        <w:trPr>
          <w:trHeight w:val="23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Diane B. Glossman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4 TO SENIOR SECURED NOTE PURCHASE AGREEMENT</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Amendment No. 4 to the Senior Secured Note Purchase Agreement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entered into as of June 23, 2026, and effective as of March 1, 2026, is entered into by, among others, Roadzen, Inc., a Delaware corporation (the “</w:t>
      </w:r>
      <w:r>
        <w:rPr>
          <w:rFonts w:ascii="Times New Roman" w:cs="Times New Roman" w:eastAsia="Times New Roman" w:hAnsi="Times New Roman"/>
          <w:sz w:val="18"/>
          <w:szCs w:val="18"/>
          <w:b w:val="1"/>
          <w:bCs w:val="1"/>
          <w:u w:val="single" w:color="auto"/>
          <w:color w:val="auto"/>
        </w:rPr>
        <w:t>Issuer</w:t>
      </w:r>
      <w:r>
        <w:rPr>
          <w:rFonts w:ascii="Times New Roman" w:cs="Times New Roman" w:eastAsia="Times New Roman" w:hAnsi="Times New Roman"/>
          <w:sz w:val="18"/>
          <w:szCs w:val="18"/>
          <w:color w:val="auto"/>
        </w:rPr>
        <w:t>”), Roadzen Inc., a British Virgin Islands publicly traded business company formerly known as Vahanna Tech Edge Acquisition I Corp.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each undersigned Subsidiary of the Issuer party to the Existing Note Purchase Agreement (as defined below) as Guarantors (each a “</w:t>
      </w: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color w:val="auto"/>
        </w:rPr>
        <w:t>” and together with the Issuer, collectively, the “</w:t>
      </w:r>
      <w:r>
        <w:rPr>
          <w:rFonts w:ascii="Times New Roman" w:cs="Times New Roman" w:eastAsia="Times New Roman" w:hAnsi="Times New Roman"/>
          <w:sz w:val="18"/>
          <w:szCs w:val="18"/>
          <w:b w:val="1"/>
          <w:bCs w:val="1"/>
          <w:u w:val="single" w:color="auto"/>
          <w:color w:val="auto"/>
        </w:rPr>
        <w:t>Note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Note Party</w:t>
      </w:r>
      <w:r>
        <w:rPr>
          <w:rFonts w:ascii="Times New Roman" w:cs="Times New Roman" w:eastAsia="Times New Roman" w:hAnsi="Times New Roman"/>
          <w:sz w:val="18"/>
          <w:szCs w:val="18"/>
          <w:color w:val="auto"/>
        </w:rPr>
        <w:t>”), the undersigned Purchasers (collectively,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and Mizuho Securities USA LLC (“</w:t>
      </w:r>
      <w:r>
        <w:rPr>
          <w:rFonts w:ascii="Times New Roman" w:cs="Times New Roman" w:eastAsia="Times New Roman" w:hAnsi="Times New Roman"/>
          <w:sz w:val="18"/>
          <w:szCs w:val="18"/>
          <w:b w:val="1"/>
          <w:bCs w:val="1"/>
          <w:u w:val="single" w:color="auto"/>
          <w:color w:val="auto"/>
        </w:rPr>
        <w:t>MSUSA</w:t>
      </w:r>
      <w:r>
        <w:rPr>
          <w:rFonts w:ascii="Times New Roman" w:cs="Times New Roman" w:eastAsia="Times New Roman" w:hAnsi="Times New Roman"/>
          <w:sz w:val="18"/>
          <w:szCs w:val="18"/>
          <w:color w:val="auto"/>
        </w:rPr>
        <w:t>”), as administrative agent and collateral agent (collectively in such capacities,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Issuer and the Guarantors are party to that certain Senior Secured Note Purchase Agreement, dated as of June 30, 2023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extended, restated, replaced, or supplemented from time to time prior to the date hereof and as amended pursuant to Amendment No. 1, dated as of July 26, 2024, Amendment No. 2, dated as of February 28, 2025 and Amendment No. 3, dated as of August 13, 2025, the “</w:t>
      </w:r>
      <w:r>
        <w:rPr>
          <w:rFonts w:ascii="Times New Roman" w:cs="Times New Roman" w:eastAsia="Times New Roman" w:hAnsi="Times New Roman"/>
          <w:sz w:val="18"/>
          <w:szCs w:val="18"/>
          <w:b w:val="1"/>
          <w:bCs w:val="1"/>
          <w:u w:val="single" w:color="auto"/>
          <w:color w:val="auto"/>
        </w:rPr>
        <w:t>Existing Note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u w:val="single" w:color="auto"/>
          <w:color w:val="auto"/>
        </w:rPr>
        <w:t>Note Purchase Agreement</w:t>
      </w:r>
      <w:r>
        <w:rPr>
          <w:rFonts w:ascii="Times New Roman" w:cs="Times New Roman" w:eastAsia="Times New Roman" w:hAnsi="Times New Roman"/>
          <w:sz w:val="18"/>
          <w:szCs w:val="18"/>
          <w:color w:val="auto"/>
        </w:rPr>
        <w:t>”), pursuant to which the Issuer issued, and the Purchasers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secured notes (the “</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in an aggregate principal amount of $11,500,000, with a maturity date of December 31, 2025 (the “</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has requested that the Purchasers make certain amendments, including extending the Maturity Date of the Existing Note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satisfaction of the conditions precedent to effectiveness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Issuer and Guarantors have requested,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Agent and Purchasers have agreed, to amend the Existing Note Purchase Agreement on the terms and subject to the conditions as set forth herein.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agreements contained herein,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undersigned agree as follows:</w:t>
      </w:r>
    </w:p>
    <w:p>
      <w:pPr>
        <w:spacing w:after="0" w:line="159" w:lineRule="exact"/>
        <w:rPr>
          <w:sz w:val="20"/>
          <w:szCs w:val="20"/>
          <w:color w:val="auto"/>
        </w:rPr>
      </w:pPr>
    </w:p>
    <w:p>
      <w:pPr>
        <w:jc w:val="both"/>
        <w:ind w:firstLine="8"/>
        <w:spacing w:after="0" w:line="266"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defined in this Amendment, all capitalized terms used but not defined in this Amendment have the meanings assigned to them in the Existing Note Purchase Agreement. The parties hereto hereby expressly agree that this Amendment shall constitute a Note Document for all purposes of the Note Purchase Agreement and the other Note Documents.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Existing Note Purchase Agreement; Exchange of Notes.</w:t>
      </w:r>
      <w:r>
        <w:rPr>
          <w:rFonts w:ascii="Times New Roman" w:cs="Times New Roman" w:eastAsia="Times New Roman" w:hAnsi="Times New Roman"/>
          <w:sz w:val="18"/>
          <w:szCs w:val="18"/>
          <w:color w:val="auto"/>
        </w:rPr>
        <w:t xml:space="preserve"> On the Amendment No. 4 Effective Date, the Existing Note Purchase Agreement is amended as follows:</w:t>
      </w:r>
    </w:p>
    <w:p>
      <w:pPr>
        <w:spacing w:after="0" w:line="16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line of the cover page of the Existing Note Purchase Agreement is replaced in its entirety with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 to $11,500,000 of Senior Secured Notes Due July 7, 2027”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The following definitions are hereby added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Existing Note Purchase Agreement in their proper alphabetical order:</w:t>
      </w:r>
    </w:p>
    <w:p>
      <w:pPr>
        <w:spacing w:after="0" w:line="221" w:lineRule="exact"/>
        <w:rPr>
          <w:sz w:val="20"/>
          <w:szCs w:val="20"/>
          <w:color w:val="auto"/>
        </w:rPr>
      </w:pPr>
    </w:p>
    <w:p>
      <w:pPr>
        <w:ind w:left="130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Amendment No. 4</w:t>
      </w:r>
      <w:r>
        <w:rPr>
          <w:rFonts w:ascii="Times New Roman" w:cs="Times New Roman" w:eastAsia="Times New Roman" w:hAnsi="Times New Roman"/>
          <w:sz w:val="18"/>
          <w:szCs w:val="18"/>
          <w:color w:val="auto"/>
        </w:rPr>
        <w:t>” means that certain Amendment No. 4 to the Senior Secured Note Purchase Agreement, entered into as of June 23, 2026, by and among, the Issuer, the Guarantors party thereto, the Purchasers party thereto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Amendment No. 4 Effective Date</w:t>
      </w:r>
      <w:r>
        <w:rPr>
          <w:rFonts w:ascii="Times New Roman" w:cs="Times New Roman" w:eastAsia="Times New Roman" w:hAnsi="Times New Roman"/>
          <w:sz w:val="18"/>
          <w:szCs w:val="18"/>
          <w:color w:val="auto"/>
        </w:rPr>
        <w:t>” has the meaning given to such term in Amendment No. 4.</w:t>
      </w:r>
    </w:p>
    <w:p>
      <w:pPr>
        <w:spacing w:after="0" w:line="225" w:lineRule="exact"/>
        <w:rPr>
          <w:sz w:val="20"/>
          <w:szCs w:val="20"/>
          <w:color w:val="auto"/>
        </w:rPr>
      </w:pPr>
    </w:p>
    <w:p>
      <w:pPr>
        <w:jc w:val="both"/>
        <w:ind w:left="130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Potential Transaction</w:t>
      </w:r>
      <w:r>
        <w:rPr>
          <w:rFonts w:ascii="Times New Roman" w:cs="Times New Roman" w:eastAsia="Times New Roman" w:hAnsi="Times New Roman"/>
          <w:sz w:val="18"/>
          <w:szCs w:val="18"/>
          <w:color w:val="auto"/>
        </w:rPr>
        <w:t>” means one or more debt or equity financings that results in the reduction, refinancing or repayment of the outstanding Obligations in full.</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The following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Existing Note Purchase Agreement are hereby amended and restated in their entirety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Payment Date</w:t>
      </w:r>
      <w:r>
        <w:rPr>
          <w:rFonts w:ascii="Times New Roman" w:cs="Times New Roman" w:eastAsia="Times New Roman" w:hAnsi="Times New Roman"/>
          <w:sz w:val="18"/>
          <w:szCs w:val="18"/>
          <w:color w:val="auto"/>
        </w:rPr>
        <w:t>” means with respect to any Note, (i) other than as set forth in clause (ii) below, the last day of each calendar month ending after the Closing Date, (ii) upon the election by the Issuer by providing written notice to the Administrative Agent at least five (5) Business Days prior to the last day of any of the first two calendar months of any calendar quarter, the last day of such calendar quarter, and (iii) the Maturity Date of such Note.</w:t>
      </w:r>
    </w:p>
    <w:p>
      <w:pPr>
        <w:spacing w:after="0" w:line="176"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 means the earlier of (i) July 7, 2027 and (ii) the date that the Obligations shall become due and payable in full hereunder, whether by acceleration or otherwise.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Section 2.14(b)(i)(C)</w:t>
      </w:r>
      <w:r>
        <w:rPr>
          <w:rFonts w:ascii="Times New Roman" w:cs="Times New Roman" w:eastAsia="Times New Roman" w:hAnsi="Times New Roman"/>
          <w:sz w:val="18"/>
          <w:szCs w:val="18"/>
          <w:color w:val="auto"/>
        </w:rPr>
        <w:t xml:space="preserve"> of the Existing Note Purchase Agreement is hereby amended and restated in its entirety to read as follows: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“(C) any receipt by Topco of any cash, Cash Equivalents or other proceeds from any capital contributions to, or issuances or other sales of or transactions with respect to any Equity Interests, including, for the avoidance of doubt, due to a Potential Transaction (the provisions of this clause (C) shall not be deemed to be implied consent to any such issuance, incurrence or sale otherwise prohibited by the terms and conditions of this Agreement) (“</w:t>
      </w:r>
      <w:r>
        <w:rPr>
          <w:rFonts w:ascii="Times New Roman" w:cs="Times New Roman" w:eastAsia="Times New Roman" w:hAnsi="Times New Roman"/>
          <w:sz w:val="18"/>
          <w:szCs w:val="18"/>
          <w:b w:val="1"/>
          <w:bCs w:val="1"/>
          <w:u w:val="single" w:color="auto"/>
          <w:color w:val="auto"/>
        </w:rPr>
        <w:t>Issuance Proceeds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The following is added as a new Section 5.25 to the end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Existing Note Purchase Agreement:</w:t>
      </w:r>
    </w:p>
    <w:p>
      <w:pPr>
        <w:spacing w:after="0" w:line="221"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Potential Transaction Cooperation</w:t>
      </w:r>
      <w:r>
        <w:rPr>
          <w:rFonts w:ascii="Times New Roman" w:cs="Times New Roman" w:eastAsia="Times New Roman" w:hAnsi="Times New Roman"/>
          <w:sz w:val="18"/>
          <w:szCs w:val="18"/>
          <w:color w:val="auto"/>
        </w:rPr>
        <w:t>. Not later than September 30, 2026 (or such later date as the Administrative Agent may agree in its sole discretion), the Issuer shall (i) use commercially reasonable efforts to negotiate in good faith to enter into a Potential Transaction with a financing source and to continue to work towards consummating such Potential Transaction and (ii) keep the Administrative Agent informed on a reasonably current basis (but no less frequently than on a monthly basis) in respect of any Potential Transaction (including information regarding any letter of intent, underwriter or placement agent engagement or any other items reasonably requested by the Administrative Agent).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Existing Note Purchase Agreement is hereby amended and restated in its entirety to read as follows:</w:t>
      </w:r>
    </w:p>
    <w:p>
      <w:pPr>
        <w:spacing w:after="0" w:line="22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Breach of Certain Covenants</w:t>
      </w:r>
      <w:r>
        <w:rPr>
          <w:rFonts w:ascii="Times New Roman" w:cs="Times New Roman" w:eastAsia="Times New Roman" w:hAnsi="Times New Roman"/>
          <w:sz w:val="18"/>
          <w:szCs w:val="18"/>
          <w:color w:val="auto"/>
        </w:rPr>
        <w:t>. Failure of any Note Party to perform or comply with any term or condition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ind w:firstLine="8"/>
        <w:spacing w:after="0" w:line="282"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amendments to the Existing Note Purchase Agreement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shall become effective immediately on the date hereof upon the satisfaction of each of the following conditions precedent (the date of such satisfaction, the “</w:t>
      </w:r>
      <w:r>
        <w:rPr>
          <w:rFonts w:ascii="Times New Roman" w:cs="Times New Roman" w:eastAsia="Times New Roman" w:hAnsi="Times New Roman"/>
          <w:sz w:val="18"/>
          <w:szCs w:val="18"/>
          <w:b w:val="1"/>
          <w:bCs w:val="1"/>
          <w:u w:val="single" w:color="auto"/>
          <w:color w:val="auto"/>
        </w:rPr>
        <w:t>Amendment No. 4 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its counsel) shall have received counterparts to this Amendment in form and substance satisfactory to the Agent and the Purchasers and which shall be duly executed by the Issuer, each Guarantor, the Purchasers and the Agent, as applicable.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Amendment No. 4 Effective Date, both immediately prior to and immediately after giving effect to this Amendment, (x)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respects and (y) no Default or Event of Default shall exist.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payment of all fees and expenses required to be paid on the Amendment No. 4 Effective Date under the Note Purchase Agreement, any Note Document and under any other written arrangements entered into between the Agent and the Issuer, in each case to the extent invoiced at least one (1) day prior to the Amendment No. 4 Effective Date (including, for the avoidance of doubt, all legal fees and expenses of Sidley Austin LLP as counsel to the Agent).</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Purchaser hereby makes each of the representations and warranties set forth in Section 4.2 of the Existing Note Purchase Agreement on and as of the Amendment No. 4 Effective Date. In addition, the Issuer hereby represents and warrants to the Agent, and the Purchasers on and as of the Amendment No. 4 Effective Date that: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Party party hereto (a) is a Person duly incorporated, organized or formed, validly existing and in good standing under the Laws of the jurisdiction of its incorporation, organization or formation (to the extent such concept of good standing exists in such jurisdiction), (b) has all requisite power and authority to execute, deliver and perform its obligations under the this Amendment and the other Note Documents to which it is a party and to incur indebtedness thereunder, (c) is duly qualified and in good standing (to the extent such concept of good standing exists in such jurisdiction) under the Laws of each jurisdiction where its ownership, lease or operation of properties or the conduct of its business requires such qualification, and (c) since the Closing Date, no event, circumstance or change, either individually or in the aggregate, has occurred that has caused or evidences, either in any case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Note Party party hereto of this Amendment, the performance by each Note Party party hereto of this Amendment and the Note Purchase Agreement and the incurrence of indebtedness thereunder, (i) have been duly authorized by all necessary corporate or other organizational action, and (ii) do not (1) contravene the terms of any of such Person’s Organization Documents, (2) conflict with or result in any breach or contravention of, or the creation of any Lien under (other than as permitted by Section 6.2 of the Existing Note Purchase Agreement), or require any payment to be made under (x) any Contractual Obligation to which such Person is a party or affecting such Person or the properties of such Person or any of its Subsidiaries or (3) any material order, injunction, writ or decree of any Governmental Authority or any arbitral award to which such Person or its property is subject or (iii) violate any Law; except with respect to any conflict, breach or contravention or payment (but not creation of Liens) referred to in clauses (2) and (3), to the extent that such violation, conflict, breach, contravention or payment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each Note Party that is a party hereto. This Amendment constitutes, and, when it becomes effective on the Amendment No. 4 Effective Date, the Note Purchase Agreement will constitute, a legal, valid and binding obligation of such Note Party, enforceable against each Note Party that is a party thereto in accordance with its terms, except as such enforceability may be limited by Debtor Relief Laws and by general principles of equity principles of good faith and fair dealing.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4" w:name="page165"/>
    <w:bookmarkEnd w:id="1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representations and warranties of each Note Party set forth in Section 4.1 of the Existing Note Purchase Agreement and in each other Note Document are true and correct in all material respects on and as of the Amendment No. 4 Effective Date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No Default or Event of Default exists immediately prior to or immediately after giving effect to this Amendment on the Amendment No. 4 Effective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No material approval, consent, exemption, authorization, or other action by, notice to, or filing with, any Governmental Authority is necessary or required in connection with the execution, delivery or performance by, or enforcement against, any Note Party of this Amendment, the grant by any Note Party of the Liens granted by it pursuant to the Collateral Documents, the perfection (if and to the extent required by the Collateral and Guarantee Requirement) or maintenance of the Liens created under the Collateral Documents (including the priority thereof) or the exercise by the Agent or any Purchaser of its rights under the Note Documents or the remedies in respect of the Collateral pursuant to the Collateral Documents, except for (i) filings and registrations necessary to perfect the Liens on the Collateral granted by the Note Parties in favor of the Secured Parties and (ii) the approvals, consents, exemptions, authorizations, actions, notices and filings which have been duly obtained, taken, given or made and are in full force and effect (except to the extent not required to be obtained, taken, given or made or in full force and effect pursuant to the Collateral and Guarantee Requirement).</w:t>
      </w:r>
    </w:p>
    <w:p>
      <w:pPr>
        <w:spacing w:after="0" w:line="192" w:lineRule="exact"/>
        <w:rPr>
          <w:sz w:val="20"/>
          <w:szCs w:val="20"/>
          <w:color w:val="auto"/>
        </w:rPr>
      </w:pPr>
    </w:p>
    <w:p>
      <w:pPr>
        <w:jc w:val="both"/>
        <w:ind w:firstLine="8"/>
        <w:spacing w:after="0" w:line="261" w:lineRule="auto"/>
        <w:tabs>
          <w:tab w:leader="none" w:pos="2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Amended Senior Secured Note Purchase Agreement</w:t>
      </w:r>
      <w:r>
        <w:rPr>
          <w:rFonts w:ascii="Times New Roman" w:cs="Times New Roman" w:eastAsia="Times New Roman" w:hAnsi="Times New Roman"/>
          <w:sz w:val="18"/>
          <w:szCs w:val="18"/>
          <w:color w:val="auto"/>
        </w:rPr>
        <w:t>. On and after the Amendment No. 4 Effective Date, the parties agree that all references in the Note Purchase Agreement, the Note, and each of the other Note Documents to “this Amendment”, “the Agreement”, “the Note”, “the Note Purchase Agreement”, “the Senior Secured Note Purchase Agreement”, “the Note Documents”, “hereunder”, “hereof”, “thereunder”, “thereof” and words of like import shall mean and be a reference to the Existing Note Purchase Agreement as amended by this Amendment.</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Amendments. Except as expressly set forth herein, this Amendment shall not, by implication or otherwise, limit, impair, constitute a waiver of or otherwise affect the rights and remedies of any Secured Party under the Note Purchase Agreement or any other Note Document and shall not alter, modify, amend or in any way affect any of the terms, conditions, obligations, covenants or agreements contained in any of the Note Purchase Agreement and any other Note Documents, except as expressly provided herein, all of which are ratified and affirmed in all respects and shall continue in full force and effect. This Amendment shall be deemed a “Note Document” as defined in the Agreement.</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undersigned Note Parties, shall, at the request of the Agent and at such Note Party’s own expense, do all such other acts and things necessary or desirable to give effect to the amendments effected or to be effected pursuant to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5" w:name="page166"/>
    <w:bookmarkEnd w:id="165"/>
    <w:p>
      <w:pPr>
        <w:jc w:val="both"/>
        <w:ind w:firstLine="8"/>
        <w:spacing w:after="0" w:line="252"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consideration of the foregoing amendments, the Note Parties, and, to the extent the same is claimed by right of, through or under the Issuer or any Guarantor, for its past, present and future successors in title, representatives, assignees, agents, officers, directors and shareholders, does hereby and shall be deemed to have forever remised, released and discharged each of the Secured Parties, and their respective Affiliates, and any of the respective successors-in-title, legal representatives and assignees, past, present and future officers, directors, shareholders, trustees, agents, employees, consultants, experts, advisors, attorneys and other professionals and all other persons and entities to whom any Secured Party or any of its Affiliates would be liable if such persons or entities were found to be liable to the Issuer or any other Note Party, or any of them (collectively hereinafter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those arising under 11 U.S.C. §§ 541-550 and interest or other carrying costs, penalties, legal, accounting and other professional fees and expenses, and incidental, consequential and punitive damages payable to third parties),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Indemnified Parties, whether held in a personal or representative capacity, and which are based on any act, fact, event or omission or other matter, cause or thing occurring at or from any time prior to and including the date hereof in any way, directly or indirectly arising out of, connected with or relating to this Amendment or the Note Documents, and the transactions contemplated hereby and thereby, and all other agreements, certificates, instruments and other documents and statements (whether written or oral) related to any of the foregoing, except the obligations required to be performed by any Secured Party or its Affiliates or agents under the Note Documents on or after the date hereof.</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1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Actions, Claims, Etc</w:t>
      </w:r>
      <w:r>
        <w:rPr>
          <w:rFonts w:ascii="Times New Roman" w:cs="Times New Roman" w:eastAsia="Times New Roman" w:hAnsi="Times New Roman"/>
          <w:sz w:val="18"/>
          <w:szCs w:val="18"/>
          <w:color w:val="auto"/>
        </w:rPr>
        <w:t>. Each Note Party acknowledges and confirms that it has no knowledge of any actions, causes of action, claims, demands, damages or liabilities of whatever kind or nature, in law or in equity, against any Secured Party, in any case, arising from any action or failure of any Secured Party to act under this Amendment or any other Note Document on or prior to the date hereof, or of any offset right, counterclaim or defense of any kind against any of its respective obligations, indebtedness or liabilities to any Secured Party or any of their Affiliates under this Amendment or any other Note Document. Each Note Party unconditionally releases, waives and forever discharges on its own behalf and on behalf of each of its subsidiaries and Affiliates (i) any and all liabilities, obligations, duties, promises or indebtedness of any kind of any Secured Party to such Note Party, except the obligations required to be performed by any Secured Party or its Affiliates or agents under the Note Documents on or after the date hereof and (ii) all claims, offsets, causes of action, suits or defenses of any kind whatsoever (if any), whether arising at law or in equity, whether known or unknown, which such Note Party might otherwise have against any Secured Party in connection with this Amendment or the other Note Documents or the transactions contemplated thereby, in the case of each of clauses (i) and (ii), on account of any past or presently existing condition, act, omission, event, contract, liability, obligation, indebtedness, claim, cause of action, defense, circumstance or matter of any kind.</w:t>
      </w:r>
    </w:p>
    <w:p>
      <w:pPr>
        <w:spacing w:after="0" w:line="187" w:lineRule="exact"/>
        <w:rPr>
          <w:rFonts w:ascii="Times New Roman" w:cs="Times New Roman" w:eastAsia="Times New Roman" w:hAnsi="Times New Roman"/>
          <w:sz w:val="18"/>
          <w:szCs w:val="18"/>
          <w:color w:val="auto"/>
        </w:rPr>
      </w:pPr>
    </w:p>
    <w:p>
      <w:pPr>
        <w:jc w:val="both"/>
        <w:ind w:firstLine="8"/>
        <w:spacing w:after="0" w:line="259" w:lineRule="auto"/>
        <w:tabs>
          <w:tab w:leader="none" w:pos="27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construed in accordance with the laws of the State of New York. This Amendment and the rights and obligations of the parties hereunder and any claims, controversy, dispute or cause of action (whether in contract or tort or otherwise) based upon, arising out or relating to this Amendment, the New Note, and the transactions contemplated hereby shall be governed by and construed in accordance with the laws of the State of New York without regard to conflicts of laws principles (other than Sections 5-1401 and 5-1402 of the New York General Obligations law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6" w:name="page167"/>
    <w:bookmarkEnd w:id="166"/>
    <w:p>
      <w:pPr>
        <w:ind w:left="280" w:hanging="272"/>
        <w:spacing w:after="0"/>
        <w:tabs>
          <w:tab w:leader="none" w:pos="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Execution and Transmission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(and by different parties hereto in different counterparts), each of which shall constitute an original, but all of which, when so executed and taken together, shall constitute a single contract.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this Amendment shall be deemed to include electronic images of manually executed signatures or electronic records, transmitted by facsimile or other electronic format (including, without limitation, “pdf”, “tif” or “jpg”) and other electronic signatures (including DocuSign). The use of electronic signatures and electronic records shall be of the same legal effect, validity and enforceability as a manually executed signature or the use of a paper-based record-keeping system, as the case may be, to the fullest extent permitted by applicable law, including the Federal Electronic Signatures in Global and National Commerce Act, the New York State Electronic Signatures and Records Act, and any other similar state laws based on the Uniform Electronic Transactions Act.</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2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Outstanding Obligations</w:t>
      </w:r>
      <w:r>
        <w:rPr>
          <w:rFonts w:ascii="Times New Roman" w:cs="Times New Roman" w:eastAsia="Times New Roman" w:hAnsi="Times New Roman"/>
          <w:sz w:val="18"/>
          <w:szCs w:val="18"/>
          <w:color w:val="auto"/>
        </w:rPr>
        <w:t>. The parties hereto hereby acknowledge and agree that, as of the date hereof after giving effect to the Amendment No. 4 Effective Date, the outstanding principal amount of the Notes as of such date is $11,500,000.00 in the aggregate.</w:t>
      </w:r>
    </w:p>
    <w:p>
      <w:pPr>
        <w:spacing w:after="0" w:line="161" w:lineRule="exact"/>
        <w:rPr>
          <w:rFonts w:ascii="Times New Roman" w:cs="Times New Roman" w:eastAsia="Times New Roman" w:hAnsi="Times New Roman"/>
          <w:sz w:val="18"/>
          <w:szCs w:val="18"/>
          <w:color w:val="auto"/>
        </w:rPr>
      </w:pPr>
    </w:p>
    <w:p>
      <w:pPr>
        <w:jc w:val="both"/>
        <w:ind w:firstLine="8"/>
        <w:spacing w:after="0" w:line="253" w:lineRule="auto"/>
        <w:tabs>
          <w:tab w:leader="none" w:pos="2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Note Parties party hereto as debtor, grantor, pledgor, guarantor, assignor, or in other any other similar capacity in which such Note Party grants liens or security interests in its property or otherwise acts as a guarantor, as the case may be, hereby (i) ratifies and reaffirms all of the Obligations, including its payment and performance obligations, contingent or otherwise, under each of the Existing Note Purchase Agreement and the other Note Documents to which it is a party and (ii) to the extent such Note Party granted liens on or security interests in any of its property pursuant to the Existing Note Purchase Agreement or any such other Note Document as security for or otherwise guaranteed the Obligations under or with respect to the Existing Note Purchase Agreement or the other Note Documents, ratifies and reaffirms such guarantee and grant of security interests and liens and confirms and agrees that such security interests and liens hereafter secure all of the Obligations in accordance with the terms of the Existing Note Purchase Agreement and the other Note Documents to which it is a party. Each of the Note Parties party hereto hereby consents to this Amendment and acknowledges that each of the Existing Note Purchase Agreement and the other Note Documents remains in full force and effect and is hereby ratified and reaffirmed. The execution of this Amendment shall not constitute a novation of the Obligations, the Existing Note Purchase Agreement or any other Note Document.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7" w:name="page168"/>
    <w:bookmarkEnd w:id="16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officers thereunto duly authorized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ROADZEN,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Rohan Malhotra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NATIONAL AUTOMOBILE CLUB</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Shanon Duthie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Shanon Duthie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ROADZEN HOLDINGS (UK) LIMITED, a company incorporated and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registered in England and Wales</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Rohan Malhotra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ROADZEN INC. f/k/a VAHANNA TECH EDGE ACQUISITION I CORP.,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British Virgin Islands business company</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Rohan Malhotra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Agreed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and as a Purchaser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Sherif Lotfi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Sherif Lotfi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[Signature Page to Amendment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10.37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MIZUHO SECURITIES USA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26,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Anza Blvd., Suite 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 94010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Rohan Malhotra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rohan@roadzen.ai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Fee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Reference is made to (i) that certain Senior Secured Note Purchase Agreement, dated as of June 30, 2023 (as amended, modified, extended, restated, replaced, or supplemented from time to time, the “</w:t>
      </w:r>
      <w:r>
        <w:rPr>
          <w:rFonts w:ascii="Times New Roman" w:cs="Times New Roman" w:eastAsia="Times New Roman" w:hAnsi="Times New Roman"/>
          <w:sz w:val="18"/>
          <w:szCs w:val="18"/>
          <w:b w:val="1"/>
          <w:bCs w:val="1"/>
          <w:u w:val="single" w:color="auto"/>
          <w:color w:val="auto"/>
        </w:rPr>
        <w:t>Note Purchase Agreement</w:t>
      </w:r>
      <w:r>
        <w:rPr>
          <w:rFonts w:ascii="Times New Roman" w:cs="Times New Roman" w:eastAsia="Times New Roman" w:hAnsi="Times New Roman"/>
          <w:sz w:val="18"/>
          <w:szCs w:val="18"/>
          <w:color w:val="auto"/>
        </w:rPr>
        <w:t>”) by, among others, Roadzen, Inc., a Delaware corporation (the “</w:t>
      </w:r>
      <w:r>
        <w:rPr>
          <w:rFonts w:ascii="Times New Roman" w:cs="Times New Roman" w:eastAsia="Times New Roman" w:hAnsi="Times New Roman"/>
          <w:sz w:val="18"/>
          <w:szCs w:val="18"/>
          <w:b w:val="1"/>
          <w:bCs w:val="1"/>
          <w:u w:val="single" w:color="auto"/>
          <w:color w:val="auto"/>
        </w:rPr>
        <w:t>Issuer</w:t>
      </w:r>
      <w:r>
        <w:rPr>
          <w:rFonts w:ascii="Times New Roman" w:cs="Times New Roman" w:eastAsia="Times New Roman" w:hAnsi="Times New Roman"/>
          <w:sz w:val="18"/>
          <w:szCs w:val="18"/>
          <w:color w:val="auto"/>
        </w:rPr>
        <w:t>”), Roadzen Inc., a British Virgin Islands publicly traded business company formerly known as Vahanna Tech Edge Acquisition I Corp.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each undersigned Subsidiary of the Issuer party to the Existing Note Purchase Agreement (as defined below) as Guarantors (each a “</w:t>
      </w: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color w:val="auto"/>
        </w:rPr>
        <w:t>” and together with the Issuer, collectively, the “</w:t>
      </w:r>
      <w:r>
        <w:rPr>
          <w:rFonts w:ascii="Times New Roman" w:cs="Times New Roman" w:eastAsia="Times New Roman" w:hAnsi="Times New Roman"/>
          <w:sz w:val="18"/>
          <w:szCs w:val="18"/>
          <w:b w:val="1"/>
          <w:bCs w:val="1"/>
          <w:u w:val="single" w:color="auto"/>
          <w:color w:val="auto"/>
        </w:rPr>
        <w:t>Note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Note Party</w:t>
      </w:r>
      <w:r>
        <w:rPr>
          <w:rFonts w:ascii="Times New Roman" w:cs="Times New Roman" w:eastAsia="Times New Roman" w:hAnsi="Times New Roman"/>
          <w:sz w:val="18"/>
          <w:szCs w:val="18"/>
          <w:color w:val="auto"/>
        </w:rPr>
        <w:t>”), the Purchasers, and Mizuho Securities USA LLC (“</w:t>
      </w:r>
      <w:r>
        <w:rPr>
          <w:rFonts w:ascii="Times New Roman" w:cs="Times New Roman" w:eastAsia="Times New Roman" w:hAnsi="Times New Roman"/>
          <w:sz w:val="18"/>
          <w:szCs w:val="18"/>
          <w:b w:val="1"/>
          <w:bCs w:val="1"/>
          <w:u w:val="single" w:color="auto"/>
          <w:color w:val="auto"/>
        </w:rPr>
        <w:t>MSUSA</w:t>
      </w:r>
      <w:r>
        <w:rPr>
          <w:rFonts w:ascii="Times New Roman" w:cs="Times New Roman" w:eastAsia="Times New Roman" w:hAnsi="Times New Roman"/>
          <w:sz w:val="18"/>
          <w:szCs w:val="18"/>
          <w:color w:val="auto"/>
        </w:rPr>
        <w:t>”), as administrative agent and collateral agent (collectively in such capacities,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(ii) that certain Termination of Engagement Letters Agreement, dated as of September 20, 2023 (the “</w:t>
      </w:r>
      <w:r>
        <w:rPr>
          <w:rFonts w:ascii="Times New Roman" w:cs="Times New Roman" w:eastAsia="Times New Roman" w:hAnsi="Times New Roman"/>
          <w:sz w:val="18"/>
          <w:szCs w:val="18"/>
          <w:b w:val="1"/>
          <w:bCs w:val="1"/>
          <w:u w:val="single" w:color="auto"/>
          <w:color w:val="auto"/>
        </w:rPr>
        <w:t>Termination Agreement</w:t>
      </w:r>
      <w:r>
        <w:rPr>
          <w:rFonts w:ascii="Times New Roman" w:cs="Times New Roman" w:eastAsia="Times New Roman" w:hAnsi="Times New Roman"/>
          <w:sz w:val="18"/>
          <w:szCs w:val="18"/>
          <w:color w:val="auto"/>
        </w:rPr>
        <w:t>”), by and between Parent and MSUSA, pursuant to which Parent agreed to pay (or cause to be paid) to MSUSA a one-time fee equal to $3,000,000 (the “</w:t>
      </w:r>
      <w:r>
        <w:rPr>
          <w:rFonts w:ascii="Times New Roman" w:cs="Times New Roman" w:eastAsia="Times New Roman" w:hAnsi="Times New Roman"/>
          <w:sz w:val="18"/>
          <w:szCs w:val="18"/>
          <w:b w:val="1"/>
          <w:bCs w:val="1"/>
          <w:u w:val="single" w:color="auto"/>
          <w:color w:val="auto"/>
        </w:rPr>
        <w:t>Closing Payment</w:t>
      </w:r>
      <w:r>
        <w:rPr>
          <w:rFonts w:ascii="Times New Roman" w:cs="Times New Roman" w:eastAsia="Times New Roman" w:hAnsi="Times New Roman"/>
          <w:sz w:val="18"/>
          <w:szCs w:val="18"/>
          <w:color w:val="auto"/>
        </w:rPr>
        <w:t>”). Capitalized terms used but not defined in this letter agreement shall have the meanings assigned thereto in the Note Purchase Agreement. This letter agreement (the “</w:t>
      </w:r>
      <w:r>
        <w:rPr>
          <w:rFonts w:ascii="Times New Roman" w:cs="Times New Roman" w:eastAsia="Times New Roman" w:hAnsi="Times New Roman"/>
          <w:sz w:val="18"/>
          <w:szCs w:val="18"/>
          <w:b w:val="1"/>
          <w:bCs w:val="1"/>
          <w:u w:val="single" w:color="auto"/>
          <w:color w:val="auto"/>
        </w:rPr>
        <w:t>Fee Letter</w:t>
      </w:r>
      <w:r>
        <w:rPr>
          <w:rFonts w:ascii="Times New Roman" w:cs="Times New Roman" w:eastAsia="Times New Roman" w:hAnsi="Times New Roman"/>
          <w:sz w:val="18"/>
          <w:szCs w:val="18"/>
          <w:color w:val="auto"/>
        </w:rPr>
        <w:t>”) constitutes a Note Document.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Fee Letter, the Closing Payment has not been made. This is to confirm our agreement that, notwithstanding anything to the contrary in the Termination Agreement (and in lieu of any other payment obligations thereunder), you agree to pay (or cause to be paid) to MSUSA the Closing Payment on or before July 7, 2027, which Termination Payment has been fully earned on the date hereof. Commencing on April 1, 2026 and continuing until the Closing Payment has been irrevocably paid in immediately available funds in U.S. dollars in full, interest shall accrue on the Closing Payment at a rate of 3% per annum, payable in arrears, and shall be computed on the basis of a three-hundred sixty (360) day year for the actual number of days elapsed in the period during which it accrues.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agree that, once paid, the Closing Payment or any part thereof will not be refundable under any circumstances, except as otherwise agreed in writing by Parent and the person entitled to such payment. The Closing Payment shall (i) be paid in immediately available funds in U.S. dollars, and shall not be subject to reduction by way of setoff or counterclaim and (ii) be in addition to reimbursement of our expenses as (and to the extent) provided for in the Note Purchase Agreement. All or any portion of Closing Payment may be allocated by MSUSA to any of its affiliates or be shared among MSUSA and its affiliates or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0" w:name="page171"/>
    <w:bookmarkEnd w:id="17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MSUSA hereby waives the breach of the Termination Agreement caused by your failure to pay the Closing Payment or enter into a promissory note as contemplated by the Termination Agreement prior to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Fee Letter is delivered to you with the understanding that neither this Fee Letter nor any of the terms or substance hereof may be disclosed to any third party without our prior written consent except (a) as required by applicable law or compulsory legal process, (b) to your (and your affiliates’) shareholders, officers, directors, employees, attorneys, accountants and advisors on a confidential basis, (c) in connection with the exercise of any remedy or enforcement of any right under this Fee Letter or (d) as part of projections, pro forma information or part of a generic disclosure of aggregate sources and uses related to fee amounts to the extent customary or required in marketing materials (including, but not limited to a confidential information memorandum), the funds flow, financial statements, or in connection with customary accounting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Fee Letter is intended to be solely for the benefit of the parties hereto, and is not intended to confer any benefits upon, or create any rights in favor of, any person other than the parties hereto. This Fee Letter may not be amended or any provision hereof waived or modified except by an instrument in writing signed by each of the parties hereto. This Fee Letter shall not be assignable by any party without the prior written consent of each of the other parties hereto (and any purported assignment without such consent shall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Fee Letter may be assigned to a permitted assignee of the Note Purchase Agreement in connection with an assignment of the Note Purchase Agreement to such permitted assignee in accordance with the terms of the Note Purchase Agreement.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Fee Letter and its contents are subject to Sections 10.3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10.14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10.15 (</w:t>
      </w:r>
      <w:r>
        <w:rPr>
          <w:rFonts w:ascii="Times New Roman" w:cs="Times New Roman" w:eastAsia="Times New Roman" w:hAnsi="Times New Roman"/>
          <w:sz w:val="18"/>
          <w:szCs w:val="18"/>
          <w:i w:val="1"/>
          <w:iCs w:val="1"/>
          <w:color w:val="auto"/>
        </w:rPr>
        <w:t>Consent to Jurisdiction; Waiver of 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 Of Process; Submission to Jurisdiction</w:t>
      </w:r>
      <w:r>
        <w:rPr>
          <w:rFonts w:ascii="Times New Roman" w:cs="Times New Roman" w:eastAsia="Times New Roman" w:hAnsi="Times New Roman"/>
          <w:sz w:val="18"/>
          <w:szCs w:val="18"/>
          <w:color w:val="auto"/>
        </w:rPr>
        <w:t>), 10.16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and 10.19 (</w:t>
      </w:r>
      <w:r>
        <w:rPr>
          <w:rFonts w:ascii="Times New Roman" w:cs="Times New Roman" w:eastAsia="Times New Roman" w:hAnsi="Times New Roman"/>
          <w:sz w:val="18"/>
          <w:szCs w:val="18"/>
          <w:i w:val="1"/>
          <w:iCs w:val="1"/>
          <w:color w:val="auto"/>
        </w:rPr>
        <w:t>Counterparts; Integration; Electronic Execution</w:t>
      </w:r>
      <w:r>
        <w:rPr>
          <w:rFonts w:ascii="Times New Roman" w:cs="Times New Roman" w:eastAsia="Times New Roman" w:hAnsi="Times New Roman"/>
          <w:sz w:val="18"/>
          <w:szCs w:val="18"/>
          <w:color w:val="auto"/>
        </w:rPr>
        <w:t>) of the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Agreement, which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understanding, please indicate your acceptance of the terms hereof by returning to us an executed counterpart hereof, whereupon this Fee Letter shall become a binding agreement between us.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MIZUHO SECURITIES USA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Sherif Lotfi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Sherif Lotfi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Rohan Malhotra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FEE LETTER]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No.s 333-292513, 333-291840, 333-284695 and 333-282966 on Form S-3 &amp; Registration Statement No. 333-291841 on Form S-8 of Roadzen Inc. of our report (which contains explanatory paragraph relating to the Company’s ability to continue as a going concern as described in Note 2(b) to the consolidated financial statements) dated June 28, 2026, on our audits of the consolidated financial statements as of March 31, 2026 and 2025 and for each of the years then ended, which is included in the Annual Report on Form 10-K of Roadzen Inc. for the year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ASA &amp; Associates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Delhi, India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Rohan Malhotra,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Roadzen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Rohan Malhotra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Jean-Noël Gallardo, certify that:</w:t>
      </w:r>
    </w:p>
    <w:p>
      <w:pPr>
        <w:spacing w:after="0" w:line="225" w:lineRule="exact"/>
        <w:rPr>
          <w:sz w:val="20"/>
          <w:szCs w:val="20"/>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Roadzen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Jean-Noël Gallardo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Jean-Noël Gallardo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Roadzen Inc. (the “Company”) on Form 10-K for the period ended March 31, 2026, as filed with the Securities and Exchange Commission on the date hereof (the “Report”), we, Rohan Malhotra, the Chief Executive Officer of the Company, and Jean-Noël Gallardo, the Chief Financial Officer of the Company, certify, pursuant to 18 U.S.C. §1350, as added by §906 of the Sarbanes-Oxley Act of 2002, that to the best of our knowledge:</w:t>
      </w:r>
    </w:p>
    <w:p>
      <w:pPr>
        <w:spacing w:after="0" w:line="180"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Rohan Malhotra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Rohan Malhotra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Jean-Noël Gallardo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Jean-Noël Gallardo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2"/>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3"/>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lvl w:ilvl="1">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2"/>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lowerRoman"/>
      <w:start w:val="3"/>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lowerRoman"/>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lowerRoman"/>
      <w:start w:val="3"/>
    </w:lvl>
  </w:abstractNum>
  <w:abstractNum w:abstractNumId="53">
    <w:nsid w:val="6590700B"/>
    <w:multiLevelType w:val="hybridMultilevel"/>
    <w:lvl w:ilvl="0">
      <w:lvlJc w:val="left"/>
      <w:lvlText w:val="(%1)"/>
      <w:numFmt w:val="lowerRoman"/>
      <w:start w:val="6"/>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7"/>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decimal"/>
      <w:start w:val="2"/>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upperLetter"/>
      <w:start w:val="1"/>
    </w:lvl>
  </w:abstractNum>
  <w:abstractNum w:abstractNumId="65">
    <w:nsid w:val="7BD3EE7B"/>
    <w:multiLevelType w:val="hybridMultilevel"/>
    <w:lvl w:ilvl="0">
      <w:lvlJc w:val="left"/>
      <w:lvlText w:val="%1."/>
      <w:numFmt w:val="lowerRoman"/>
      <w:start w:val="2"/>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6"/>
    </w:lvl>
  </w:abstractNum>
  <w:abstractNum w:abstractNumId="71">
    <w:nsid w:val="A0382C5"/>
    <w:multiLevelType w:val="hybridMultilevel"/>
    <w:lvl w:ilvl="0">
      <w:lvlJc w:val="left"/>
      <w:lvlText w:val="(%1)"/>
      <w:numFmt w:val="lowerRoman"/>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
      <w:numFmt w:val="bullet"/>
      <w:start w:val="1"/>
    </w:lvl>
    <w:lvl w:ilvl="1">
      <w:lvlJc w:val="left"/>
      <w:lvlText w:val="%2"/>
      <w:numFmt w:val="upperLetter"/>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1"/>
    </w:lvl>
  </w:abstractNum>
  <w:abstractNum w:abstractNumId="77">
    <w:nsid w:val="60B6DF70"/>
    <w:multiLevelType w:val="hybridMultilevel"/>
    <w:lvl w:ilvl="0">
      <w:lvlJc w:val="left"/>
      <w:lvlText w:val="%1."/>
      <w:numFmt w:val="decimal"/>
      <w:start w:val="3"/>
    </w:lvl>
    <w:lvl w:ilvl="1">
      <w:lvlJc w:val="left"/>
      <w:lvlText w:val="%2."/>
      <w:numFmt w:val="lowerLetter"/>
      <w:start w:val="1"/>
    </w:lvl>
  </w:abstractNum>
  <w:abstractNum w:abstractNumId="78">
    <w:nsid w:val="6A5EE64"/>
    <w:multiLevelType w:val="hybridMultilevel"/>
    <w:lvl w:ilvl="0">
      <w:lvlJc w:val="left"/>
      <w:lvlText w:val="%1."/>
      <w:numFmt w:val="decimal"/>
      <w:start w:val="5"/>
    </w:lvl>
  </w:abstractNum>
  <w:abstractNum w:abstractNumId="79">
    <w:nsid w:val="14330624"/>
    <w:multiLevelType w:val="hybridMultilevel"/>
    <w:lvl w:ilvl="0">
      <w:lvlJc w:val="left"/>
      <w:lvlText w:val="%1."/>
      <w:numFmt w:val="decimal"/>
      <w:start w:val="8"/>
    </w:lvl>
  </w:abstractNum>
  <w:abstractNum w:abstractNumId="80">
    <w:nsid w:val="7FFFCA11"/>
    <w:multiLevelType w:val="hybridMultilevel"/>
    <w:lvl w:ilvl="0">
      <w:lvlJc w:val="left"/>
      <w:lvlText w:val="%1."/>
      <w:numFmt w:val="decimal"/>
      <w:start w:val="1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126" Type="http://schemas.openxmlformats.org/officeDocument/2006/relationships/hyperlink" Target="https://www.sec.gov/Archives/edgar/data/1868640/000119312523242523/d537808dex31.htm" TargetMode="External"/><Relationship Id="rId127" Type="http://schemas.openxmlformats.org/officeDocument/2006/relationships/hyperlink" Target="https://www.sec.gov/Archives/edgar/data/1868640/000119312523242523/d537808dex41.htm" TargetMode="External"/><Relationship Id="rId128" Type="http://schemas.openxmlformats.org/officeDocument/2006/relationships/hyperlink" Target="https://www.sec.gov/Archives/edgar/data/1868640/000119312523242523/d537808dex42.htm" TargetMode="External"/><Relationship Id="rId129" Type="http://schemas.openxmlformats.org/officeDocument/2006/relationships/hyperlink" Target="https://www.sec.gov/Archives/edgar/data/1868640/000119312521342437/d244497dex41.htm" TargetMode="External"/><Relationship Id="rId130" Type="http://schemas.openxmlformats.org/officeDocument/2006/relationships/hyperlink" Target="https://www.sec.gov/Archives/edgar/data/1868640/000095017024006964/rdzn-ex4_1.htm" TargetMode="External"/><Relationship Id="rId131" Type="http://schemas.openxmlformats.org/officeDocument/2006/relationships/hyperlink" Target="https://www.sec.gov/Archives/edgar/data/1868640/000095017024041340/rdzn-ex10_1.htm" TargetMode="External"/><Relationship Id="rId132" Type="http://schemas.openxmlformats.org/officeDocument/2006/relationships/hyperlink" Target="https://www.sec.gov/Archives/edgar/data/1868640/000149315225009232/ex4-1.htm" TargetMode="External"/><Relationship Id="rId133" Type="http://schemas.openxmlformats.org/officeDocument/2006/relationships/hyperlink" Target="https://www.sec.gov/Archives/edgar/data/1868640/000149315225000996/ex4-1.htm" TargetMode="External"/><Relationship Id="rId134" Type="http://schemas.openxmlformats.org/officeDocument/2006/relationships/hyperlink" Target="https://www.sec.gov/Archives/edgar/data/1868640/000149315224050430/ex4-1.htm" TargetMode="External"/><Relationship Id="rId135" Type="http://schemas.openxmlformats.org/officeDocument/2006/relationships/hyperlink" Target="https://www.sec.gov/Archives/edgar/data/1868640/000149315224050430/ex4-2.htm" TargetMode="External"/><Relationship Id="rId136" Type="http://schemas.openxmlformats.org/officeDocument/2006/relationships/hyperlink" Target="https://www.sec.gov/Archives/edgar/data/1868640/000095017024088252/rdzn-ex4_1.htm" TargetMode="External"/><Relationship Id="rId137" Type="http://schemas.openxmlformats.org/officeDocument/2006/relationships/hyperlink" Target="https://www.sec.gov/Archives/edgar/data/1868640/000095017024049292/rdzn-ex4_1.htm" TargetMode="External"/><Relationship Id="rId138" Type="http://schemas.openxmlformats.org/officeDocument/2006/relationships/hyperlink" Target="https://www.sec.gov/Archives/edgar/data/1868640/000164117225002155/ex10-1.htm" TargetMode="External"/><Relationship Id="rId139" Type="http://schemas.openxmlformats.org/officeDocument/2006/relationships/hyperlink" Target="https://www.sec.gov/Archives/edgar/data/1868640/000164117225002155/ex10-2.htm" TargetMode="External"/><Relationship Id="rId140" Type="http://schemas.openxmlformats.org/officeDocument/2006/relationships/hyperlink" Target="https://www.sec.gov/Archives/edgar/data/1868640/000119312523220827/d531690dex101.htm" TargetMode="External"/><Relationship Id="rId141" Type="http://schemas.openxmlformats.org/officeDocument/2006/relationships/hyperlink" Target="https://www.sec.gov/Archives/edgar/data/1868640/000119312523220827/d531690dex102.htm" TargetMode="External"/><Relationship Id="rId142" Type="http://schemas.openxmlformats.org/officeDocument/2006/relationships/hyperlink" Target="https://www.sec.gov/Archives/edgar/data/1868640/000119312521342437/d244497dex103.htm" TargetMode="External"/><Relationship Id="rId143" Type="http://schemas.openxmlformats.org/officeDocument/2006/relationships/hyperlink" Target="https://www.sec.gov/Archives/edgar/data/1868640/000119312523036577/d14176ds4.htm#rom14176_48" TargetMode="External"/><Relationship Id="rId144" Type="http://schemas.openxmlformats.org/officeDocument/2006/relationships/hyperlink" Target="https://www.sec.gov/Archives/edgar/data/1868640/000119312523180578/d14176dex1011.htm" TargetMode="External"/><Relationship Id="rId145" Type="http://schemas.openxmlformats.org/officeDocument/2006/relationships/hyperlink" Target="https://www.sec.gov/ix?doc=/Archives/edgar/data/1868640/000119312523242523/d537808d8k.htm" TargetMode="External"/><Relationship Id="rId146" Type="http://schemas.openxmlformats.org/officeDocument/2006/relationships/hyperlink" Target="https://www.sec.gov/Archives/edgar/data/1868640/000119312523242523/d537808dex108.htm" TargetMode="External"/><Relationship Id="rId147" Type="http://schemas.openxmlformats.org/officeDocument/2006/relationships/hyperlink" Target="https://www.sec.gov/Archives/edgar/data/1868640/000119312523242523/d537808dex109.htm" TargetMode="External"/><Relationship Id="rId148" Type="http://schemas.openxmlformats.org/officeDocument/2006/relationships/hyperlink" Target="https://www.sec.gov/Archives/edgar/data/1868640/000119312523242523/d537808dex1011.htm" TargetMode="External"/><Relationship Id="rId149" Type="http://schemas.openxmlformats.org/officeDocument/2006/relationships/hyperlink" Target="https://www.sec.gov/Archives/edgar/data/1868640/000095017024011022/rdzn-ex10_1.htm" TargetMode="External"/><Relationship Id="rId150" Type="http://schemas.openxmlformats.org/officeDocument/2006/relationships/hyperlink" Target="https://www.sec.gov/Archives/edgar/data/1868640/000095017024006964/rdzn-ex10_1.htm" TargetMode="External"/><Relationship Id="rId151" Type="http://schemas.openxmlformats.org/officeDocument/2006/relationships/hyperlink" Target="https://www.sec.gov/Archives/edgar/data/1868640/000095017024006964/rdzn-ex10_2.htm" TargetMode="External"/><Relationship Id="rId152" Type="http://schemas.openxmlformats.org/officeDocument/2006/relationships/hyperlink" Target="https://www.sec.gov/Archives/edgar/data/1868640/000095017024002971/rdzn-ex10_1.htm" TargetMode="External"/><Relationship Id="rId153" Type="http://schemas.openxmlformats.org/officeDocument/2006/relationships/hyperlink" Target="https://www.sec.gov/Archives/edgar/data/1868640/000149315225009232/ex10-1.htm" TargetMode="External"/><Relationship Id="rId154" Type="http://schemas.openxmlformats.org/officeDocument/2006/relationships/hyperlink" Target="https://www.sec.gov/Archives/edgar/data/1868640/000149315225000996/ex10-1.htm" TargetMode="External"/><Relationship Id="rId155" Type="http://schemas.openxmlformats.org/officeDocument/2006/relationships/hyperlink" Target="https://www.sec.gov/Archives/edgar/data/1868640/000095017025000447/rdzn-ex10_1.htm" TargetMode="External"/><Relationship Id="rId156" Type="http://schemas.openxmlformats.org/officeDocument/2006/relationships/hyperlink" Target="https://www.sec.gov/Archives/edgar/data/1868640/000095017025000447/rdzn-ex10_2.htm" TargetMode="External"/><Relationship Id="rId157" Type="http://schemas.openxmlformats.org/officeDocument/2006/relationships/hyperlink" Target="https://www.sec.gov/Archives/edgar/data/1868640/000149315224050430/ex1-1.htm" TargetMode="External"/><Relationship Id="rId158" Type="http://schemas.openxmlformats.org/officeDocument/2006/relationships/hyperlink" Target="https://www.sec.gov/Archives/edgar/data/1868640/000095017024124102/rdzn-ex10_1.htm" TargetMode="External"/><Relationship Id="rId159" Type="http://schemas.openxmlformats.org/officeDocument/2006/relationships/hyperlink" Target="https://www.sec.gov/Archives/edgar/data/1868640/000095017024109992/rdzn-ex10_1.htm" TargetMode="External"/><Relationship Id="rId160" Type="http://schemas.openxmlformats.org/officeDocument/2006/relationships/hyperlink" Target="https://www.sec.gov/Archives/edgar/data/1868640/000095017024085444/rdzn-ex10_1.htm" TargetMode="External"/><Relationship Id="rId161" Type="http://schemas.openxmlformats.org/officeDocument/2006/relationships/hyperlink" Target="https://www.sec.gov/Archives/edgar/data/1868640/000164117225021507/ex10-2.htm" TargetMode="External"/><Relationship Id="rId162" Type="http://schemas.openxmlformats.org/officeDocument/2006/relationships/hyperlink" Target="https://www.sec.gov/Archives/edgar/data/1868640/000164117225021507/ex10-3.htm" TargetMode="External"/><Relationship Id="rId163" Type="http://schemas.openxmlformats.org/officeDocument/2006/relationships/hyperlink" Target="https://www.sec.gov/Archives/edgar/data/1868640/000164117225021773/ex10-1.htm" TargetMode="External"/><Relationship Id="rId164" Type="http://schemas.openxmlformats.org/officeDocument/2006/relationships/hyperlink" Target="https://www.sec.gov/Archives/edgar/data/1868640/000164117225021773/ex10-2.htm" TargetMode="External"/><Relationship Id="rId165" Type="http://schemas.openxmlformats.org/officeDocument/2006/relationships/hyperlink" Target="https://www.sec.gov/Archives/edgar/data/1868640/000149315225024501/ex10-1.htm" TargetMode="External"/><Relationship Id="rId166" Type="http://schemas.openxmlformats.org/officeDocument/2006/relationships/hyperlink" Target="https://www.sec.gov/Archives/edgar/data/1868640/000149315225024501/ex10-2.htm" TargetMode="External"/><Relationship Id="rId167" Type="http://schemas.openxmlformats.org/officeDocument/2006/relationships/hyperlink" Target="https://www.sec.gov/Archives/edgar/data/1868640/000149315225024501/ex10-3.htm" TargetMode="External"/><Relationship Id="rId168" Type="http://schemas.openxmlformats.org/officeDocument/2006/relationships/hyperlink" Target="https://www.sec.gov/Archives/edgar/data/1868640/000149315226002775/ex10-1.htm" TargetMode="External"/><Relationship Id="rId169" Type="http://schemas.openxmlformats.org/officeDocument/2006/relationships/hyperlink" Target="https://www.sec.gov/Archives/edgar/data/1868640/000149315226002775/ex10-2.htm" TargetMode="External"/><Relationship Id="rId170" Type="http://schemas.openxmlformats.org/officeDocument/2006/relationships/hyperlink" Target="https://www.sec.gov/Archives/edgar/data/1868640/000149315226002775/ex10-3.htm" TargetMode="External"/><Relationship Id="rId171" Type="http://schemas.openxmlformats.org/officeDocument/2006/relationships/hyperlink" Target="https://www.sec.gov/Archives/edgar/data/1868640/000149315226008128/ex10-1.htm" TargetMode="External"/><Relationship Id="rId172" Type="http://schemas.openxmlformats.org/officeDocument/2006/relationships/hyperlink" Target="https://www.sec.gov/Archives/edgar/data/1868640/000119312523242523/d537808dex141.htm" TargetMode="External"/><Relationship Id="rId173" Type="http://schemas.openxmlformats.org/officeDocument/2006/relationships/hyperlink" Target="https://www.sec.gov/Archives/edgar/data/1868640/000164117225016647/ex19-1.htm" TargetMode="External"/><Relationship Id="rId174" Type="http://schemas.openxmlformats.org/officeDocument/2006/relationships/hyperlink" Target="https://www.sec.gov/Archives/edgar/data/1868640/000119312523242523/d537808dex211.htm" TargetMode="External"/><Relationship Id="rId175" Type="http://schemas.openxmlformats.org/officeDocument/2006/relationships/hyperlink" Target="https://www.sec.gov/Archives/edgar/data/1868640/000095017024079647/rdz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2026-06-29T15:36:56Z</dcterms:created>
  <dcterms:modified xsi:type="dcterms:W3CDTF">2026-06-29T15:36:56Z</dcterms:modified>
</cp:coreProperties>
</file>