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813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August 13,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ROADZEN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British Virgin Islands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0813"/>
            <w:bookmarkEnd w:id="6"/>
            <w:r>
              <w:rPr>
                <w:rFonts w:ascii="Times New Roman;Times;Serif" w:hAnsi="Times New Roman;Times;Serif"/>
                <w:b/>
                <w:i w:val="false"/>
                <w:caps w:val="false"/>
                <w:smallCaps w:val="false"/>
                <w:sz w:val="20"/>
              </w:rPr>
              <w:t>001-41094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98-1600102</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111 Anza Blvd</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7_edei--EntityAddressAddressLine2_"/>
            <w:bookmarkEnd w:id="9"/>
            <w:r>
              <w:rPr>
                <w:rFonts w:ascii="Times New Roman;Times;Serif" w:hAnsi="Times New Roman;Times;Serif"/>
                <w:b/>
                <w:i w:val="false"/>
                <w:caps w:val="false"/>
                <w:smallCaps w:val="false"/>
                <w:sz w:val="20"/>
              </w:rPr>
              <w:t>Suite 109</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Burlingame, </w:t>
            </w:r>
            <w:bookmarkStart w:id="11" w:name="xdx_90D_edei--EntityAddressStateOrProvin"/>
            <w:bookmarkEnd w:id="11"/>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F_edei--EntityAddressPostalZipCode"/>
            <w:bookmarkEnd w:id="12"/>
            <w:r>
              <w:rPr>
                <w:rFonts w:ascii="Times New Roman;Times;Serif" w:hAnsi="Times New Roman;Times;Serif"/>
                <w:b/>
                <w:i w:val="false"/>
                <w:caps w:val="false"/>
                <w:smallCaps w:val="false"/>
                <w:sz w:val="20"/>
              </w:rPr>
              <w:t>94010</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D_edei--CityAreaCode_c20260813__20"/>
      <w:bookmarkEnd w:id="13"/>
      <w:r>
        <w:rPr>
          <w:rFonts w:ascii="Times New Roman;Times;Serif" w:hAnsi="Times New Roman;Times;Serif"/>
          <w:b/>
          <w:i w:val="false"/>
          <w:caps w:val="false"/>
          <w:smallCaps w:val="false"/>
          <w:sz w:val="20"/>
        </w:rPr>
        <w:t xml:space="preserve">(347) </w:t>
      </w:r>
      <w:bookmarkStart w:id="14" w:name="xdx_908_edei--LocalPhoneNumber_c20260813"/>
      <w:bookmarkEnd w:id="14"/>
      <w:r>
        <w:rPr>
          <w:rFonts w:ascii="Times New Roman;Times;Serif" w:hAnsi="Times New Roman;Times;Serif"/>
          <w:b/>
          <w:i w:val="false"/>
          <w:caps w:val="false"/>
          <w:smallCaps w:val="false"/>
          <w:sz w:val="20"/>
        </w:rPr>
        <w:t>745-6448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283"/>
              <w:jc w:val="left"/>
              <w:rPr>
                <w:caps w:val="false"/>
                <w:smallCaps w:val="false"/>
              </w:rPr>
            </w:pPr>
            <w:bookmarkStart w:id="15" w:name="xdx_901_edei--WrittenCommunications_c202"/>
            <w:bookmarkEnd w:id="15"/>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bookmarkStart w:id="16" w:name="xdx_90B_edei--SolicitingMaterial_c202608"/>
            <w:bookmarkEnd w:id="16"/>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bookmarkStart w:id="17" w:name="xdx_905_edei--PreCommencementTenderOffer"/>
            <w:bookmarkEnd w:id="17"/>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bookmarkStart w:id="18" w:name="xdx_904_edei--PreCommencementIssuerTende"/>
            <w:bookmarkEnd w:id="18"/>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46"/>
        <w:gridCol w:w="60"/>
        <w:gridCol w:w="1327"/>
        <w:gridCol w:w="60"/>
        <w:gridCol w:w="2812"/>
      </w:tblGrid>
      <w:tr>
        <w:trPr/>
        <w:tc>
          <w:tcPr>
            <w:tcW w:w="594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9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Security12bTitle_c20260813"/>
            <w:bookmarkEnd w:id="19"/>
            <w:r>
              <w:rPr>
                <w:rFonts w:ascii="Times New Roman;Times;Serif" w:hAnsi="Times New Roman;Times;Serif"/>
                <w:b w:val="false"/>
                <w:i w:val="false"/>
                <w:caps w:val="false"/>
                <w:smallCaps w:val="false"/>
                <w:sz w:val="20"/>
              </w:rPr>
              <w:t>Ordinary Shares,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TradingSymbol_c20260813__2"/>
            <w:bookmarkEnd w:id="20"/>
            <w:r>
              <w:rPr>
                <w:rFonts w:ascii="Times New Roman;Times;Serif" w:hAnsi="Times New Roman;Times;Serif"/>
                <w:b w:val="false"/>
                <w:i w:val="false"/>
                <w:caps w:val="false"/>
                <w:smallCaps w:val="false"/>
                <w:sz w:val="20"/>
              </w:rPr>
              <w:t>RDZN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D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59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8_edei--Security12bTitle_c20260813"/>
            <w:bookmarkEnd w:id="22"/>
            <w:r>
              <w:rPr>
                <w:rFonts w:ascii="Times New Roman;Times;Serif" w:hAnsi="Times New Roman;Times;Serif"/>
                <w:b w:val="false"/>
                <w:i w:val="false"/>
                <w:caps w:val="false"/>
                <w:smallCaps w:val="false"/>
                <w:sz w:val="20"/>
              </w:rPr>
              <w:t>Warrants, each warrant exercisable for one ordinary share, each at an exercise price of $11.50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2_edei--TradingSymbol_c20260813__2"/>
            <w:bookmarkEnd w:id="23"/>
            <w:r>
              <w:rPr>
                <w:rFonts w:ascii="Times New Roman;Times;Serif" w:hAnsi="Times New Roman;Times;Serif"/>
                <w:b w:val="false"/>
                <w:i w:val="false"/>
                <w:caps w:val="false"/>
                <w:smallCaps w:val="false"/>
                <w:sz w:val="20"/>
              </w:rPr>
              <w:t>RDZNW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E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F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7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Roadzen Inc. (the “Company”) issued a press release announcing its financial results for the three months ended June 30, 2026. A copy of the press release is attached hereto as Exhibit 99.1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is intended to be furnished under Item 2.02 of Form 8-K, “Results of Operations and Financial Condition”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jc w:val="center"/>
        <w:rPr>
          <w:caps w:val="false"/>
          <w:smallCaps w:val="false"/>
        </w:rPr>
      </w:pPr>
      <w:r>
        <w:rPr>
          <w:caps w:val="false"/>
          <w:smallCaps w:val="false"/>
        </w:rPr>
        <w:t> </w:t>
      </w:r>
    </w:p>
    <w:tbl>
      <w:tblPr>
        <w:tblW w:w="7915" w:type="dxa"/>
        <w:jc w:val="left"/>
        <w:tblInd w:w="0" w:type="dxa"/>
        <w:tblLayout w:type="fixed"/>
        <w:tblCellMar>
          <w:top w:w="0" w:type="dxa"/>
          <w:left w:w="0" w:type="dxa"/>
          <w:bottom w:w="28" w:type="dxa"/>
          <w:right w:w="0" w:type="dxa"/>
        </w:tblCellMar>
      </w:tblPr>
      <w:tblGrid>
        <w:gridCol w:w="1400"/>
        <w:gridCol w:w="60"/>
        <w:gridCol w:w="645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Exhibit </w:t>
            </w:r>
          </w:p>
        </w:tc>
      </w:tr>
      <w:tr>
        <w:trPr/>
        <w:tc>
          <w:tcPr>
            <w:tcW w:w="14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5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issued on August 13, 2026.</w:t>
              </w:r>
            </w:hyperlink>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295" w:type="dxa"/>
        <w:jc w:val="left"/>
        <w:tblInd w:w="0" w:type="dxa"/>
        <w:tblLayout w:type="fixed"/>
        <w:tblCellMar>
          <w:top w:w="0" w:type="dxa"/>
          <w:left w:w="0" w:type="dxa"/>
          <w:bottom w:w="0" w:type="dxa"/>
          <w:right w:w="0" w:type="dxa"/>
        </w:tblCellMar>
      </w:tblPr>
      <w:tblGrid>
        <w:gridCol w:w="470"/>
        <w:gridCol w:w="1370"/>
        <w:gridCol w:w="545"/>
        <w:gridCol w:w="1910"/>
      </w:tblGrid>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24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INC.</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Jean-Noël Gallardo</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Jean-Noël Gallardo</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669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533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Roadzen Delivers Best Quarter in Company History with Record Q1 FY2027 Revenue of $16.2 Million, Up 49% Year-Over-Year</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Record Revenue and Growth Underscore Adoption of Roadzen’s AI Platform</w:t>
            </w:r>
            <w:r>
              <w:rPr>
                <w:rFonts w:ascii="Times New Roman;Times;Serif" w:hAnsi="Times New Roman;Times;Serif"/>
                <w:b w:val="false"/>
                <w:i w:val="false"/>
                <w:caps w:val="false"/>
                <w:smallCaps w:val="false"/>
                <w:sz w:val="20"/>
              </w:rPr>
              <w:t xml:space="preserve"> First quarter fiscal 2027 revenue increased 49% to $16.2 million from $10.9 million in the prior year’s first quarter — the strongest first quarter on record for Roadzen and the best quarterly revenue in Company history.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FY2027 Momentum Accelerates Toward a $100+ Million Run Rate</w:t>
            </w:r>
            <w:r>
              <w:rPr>
                <w:rFonts w:ascii="Times New Roman;Times;Serif" w:hAnsi="Times New Roman;Times;Serif"/>
                <w:b w:val="false"/>
                <w:i w:val="false"/>
                <w:caps w:val="false"/>
                <w:smallCaps w:val="false"/>
                <w:sz w:val="20"/>
              </w:rPr>
              <w:t xml:space="preserve"> Roadzen exited the quarter at a roughly $65 million annualized revenue run rate and secured over $30 million of contracted revenue during the quarter. In July 2026, Roadzen signed a definitive agreement to acquire a leading European MGA specializing in short-term car rental insurance, expected to add approximately $18–20 million of annual revenue and $1.6–2.0 million of EBITDA, further supporting momentum towards a $100+ million annualized run rate.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Quarterly Net Loss Increase Driven by Non-Cash Expenses; Eighth Consecutive Quarter of Adjusted EBITDA</w:t>
            </w:r>
            <w:r>
              <w:rPr>
                <w:rFonts w:ascii="Times New Roman;Times;Serif" w:hAnsi="Times New Roman;Times;Serif"/>
                <w:b/>
                <w:i w:val="false"/>
                <w:caps w:val="false"/>
                <w:smallCaps w:val="false"/>
                <w:position w:val="7"/>
                <w:sz w:val="16"/>
                <w:sz w:val="20"/>
              </w:rPr>
              <w:t>1</w:t>
            </w:r>
            <w:r>
              <w:rPr>
                <w:rFonts w:ascii="Times New Roman;Times;Serif" w:hAnsi="Times New Roman;Times;Serif"/>
                <w:b/>
                <w:i w:val="false"/>
                <w:caps w:val="false"/>
                <w:smallCaps w:val="false"/>
                <w:sz w:val="20"/>
              </w:rPr>
              <w:t xml:space="preserve"> Improvement and Second Straight ‘Rule of 40’ Quarter</w:t>
            </w:r>
            <w:r>
              <w:rPr>
                <w:rFonts w:ascii="Times New Roman;Times;Serif" w:hAnsi="Times New Roman;Times;Serif"/>
                <w:b w:val="false"/>
                <w:i w:val="false"/>
                <w:caps w:val="false"/>
                <w:smallCaps w:val="false"/>
                <w:sz w:val="20"/>
              </w:rPr>
              <w:t xml:space="preserve"> Adjusted EBITDA loss narrowed to $(0.37) million from $(1.41) million in the prior year quarter — a 73% year-over-year improvement — and improved from $(0.44) million in the fourth quarter of fiscal 2026, marking the eighth consecutive quarter of gains. Together, these results delivered Roadzen’s second consecutive ‘Rule of 40’ quarter, at a score of approximately 47.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AI Platform Delivers Measurable Results Across Insurance and Mobility</w:t>
            </w:r>
            <w:r>
              <w:rPr>
                <w:rFonts w:ascii="Times New Roman;Times;Serif" w:hAnsi="Times New Roman;Times;Serif"/>
                <w:b w:val="false"/>
                <w:i w:val="false"/>
                <w:caps w:val="false"/>
                <w:smallCaps w:val="false"/>
                <w:sz w:val="20"/>
              </w:rPr>
              <w:t xml:space="preserve"> Roadzen’s AI platform delivers real, measurable outcomes at scale for its customers: up to 72% fewer accidents for drivers and fleets across billions of miles driven, an 85% average combined ratio for Roadzen’s MGA operations versus a global industry average of 103%, and claims-to-repair cycle times cut from roughly six weeks to 48 hours for most claims.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August 13, 2026 (GLOBE NEWSWIRE)</w:t>
      </w:r>
      <w:r>
        <w:rPr>
          <w:rFonts w:ascii="Times New Roman;Times;Serif" w:hAnsi="Times New Roman;Times;Serif"/>
          <w:b w:val="false"/>
          <w:i w:val="false"/>
          <w:caps w:val="false"/>
          <w:smallCaps w:val="false"/>
          <w:sz w:val="20"/>
        </w:rPr>
        <w:t xml:space="preserve"> — Roadzen Inc. (Nasdaq: RDZN) (“Roadzen” or the “Company”), a global leader in AI at the convergence of insurance and mobility, today announced its financial results for the three months ended June 30, 2026, its first quarter of fiscal year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new generation of AI-first companies is showing incredible applications of AI across verticals — in legal, in customer service, in software — and Roadzen is leading the way for insurance and mobility. The results we are seeing in applied AI — on combined ratios, on driver safety, on underwriting precision, and in overall enterprise adoption among our global clients — are exceptional. This was the best quarter in our history, and the fact that we beat our March quarter — typically our strongest of the year, with June usually running lower — gives us a nice base for the rest of the year,” said Rohan Malhotra, Founder and CEO of Roadzen. “We exited the quarter at a $65 million annualized run rate, added more than $30 million in new deals, and signed a definitive agreement to acquire a leading European insurance platform that gives us more than a decade of proprietary underwriting and claims data on short-term trips. We believe we have a clear line of sight to exiting fiscal 2027 at a $100 million-plus annualized run rate and continued positive gains on 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the end of last quarter, we outlined clear financial priorities: reaching Adjusted EBITDA breakeven, driving greater operating leverage and cost efficiency, and continuing to strengthen and simplify our balance sheet,” said Jean-Noël Gallardo, Chief Financial Officer of Roadzen. “We made meaningful progress on each of those in the first quarter. Revenue increased 49% year-over-year to a record $16.2 million, while our Adjusted EBITDA loss narrowed to just $(0.37) million from $(0.44) million in the fourth quarter and $(1.41) million a year ago — our eighth consecutive quarter of improvement. Operating expenses, excluding cost of services and depreciation and amortization, declined approximately 34% sequentially, while revenue reached a new quarterly record, demonstrating the cost efficiencies and operating leverage we are realizing as the business scales.”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Adjusted EBITDA is a non-GAAP financial metric. See “Non-GAAP Financial Measures” at the end of this press release for more information, including a reconciliation to the nearest GAAP financial measure.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Fiscal Quarter 2027 Financial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and Key Performance Indicators: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first quarter revenue totaling $16.2 million, up from $10.9 million the prior year first quarter, an increase of 49% and the highest quarterly revenue in Company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Brokerage solutions accounted for 45% of total revenue, increasing $1.6 million, or 28.2% over the prior year quarter, while IaaS revenue accounted for the remaining 55% of revenue, increasing $3.7 million, or 72.3% over the prior year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Roadzen had 61 insurance customer agreements (including carriers, self-insureds and other entities processing insurance claims), 96 automotive customer agreements, and approximately 4,240 agents and fleet customer agreements, compared to 61 insurance, 91 automotive and 4,200 agent and fleet customer agreements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brokerage business, 165,181 policies were sold during the first quarter for approximately $25.6 million of Gross Written Premium (“GWP”), compared to 144,270 policies and $25.2 million of GWP in the fourth quarter of fiscal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IaaS business, 1,406,382 claims, roadside assistance and vehicle inspections were conducted during the three months ended June 30, 2026, compared to 1,409,790 in the prior fourth quarter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three months ended June 30, 2026, excluding Cost of Services and Depreciation and Amortization, totaled $10.1 million, compared with $8.8 million in the prior-year period. While revenue increased 49% year-over-year to a record $16.2 million, operating expenses increased approximately 14.7%, demonstrating operating leverage as the Company scaled.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totaled $1.5 million, compared with $2.5 million in the prior-year period, reflecting increasing operating leverage — a 39% year-over-year improvement. Operating margin improved to (9.5%) from (23.2%) in the prior-year period, representing approximately 1,367 basis points of year-over-year improvement.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ordinary shareholders was $(9.8) million, or $(0.12) per share, compared with $(4.0) million, or $(0.05) per share, in the prior-year period. The first-quarter net loss included a $7.2 million non-cash fair-value loss (including a one-time, non-cash $5.9 million write-down of the Forward Purchase Agreement) on the Company’s financial instruments compared with $0.5 million in the prior-year period. Excluding this non-cash fair-value adjustment, net loss attributable to ordinary shareholders would have been approximately $(2.6) million. This non-cash fair-value adjustment was the principal driver of the reported net loss, masking continued improvement in the Company’s underlying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loss for the first quarter totaled $(0.37) million, compared with $(1.41) million in the prior-year period — a 73% year-over-year improvement. This marks Roadzen’s eighth consecutive quarter of Adjusted EBITDA improvement, bringing the Company closer to Adjusted EBITDA breakeven while delivering 49% year-over-year revenue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 as of June 30, 2026 were approximately $47.7 million, compared with $52.7 million at March 31, 2026. The sequential change was driven principally by a one-time non-cash write-off of the Company’s Forward Purchase Agreement of $5.9 million. The Company ended the quarter with $6.0 million of cash and cash equivalents, compared with $6.6 million on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declined to $78.3 million from $79.2 million at March 31, 2026, driven by a $3.4 million decrease in Accounts Payable, partially offset by an increase in current portion of long-term borrowings, while aggregate borrowings decreased slightly to $33.0 million from $33.3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approximately 84.6 million Ordinary Shares outstanding, an increase of 4.9 million shares from March 31, 2026, primarily reflecting the $8.0 million institutional equity financing completed during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Financial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further reduced outstanding debt by converting approximately $0.8 million of junior unsecured convertible debentures and their accrued interest into equity at $2.50 per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2027 Operational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and Commercial Deployments: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secured more than $30 million of new contracted revenue during the first quarter across insurance, claims, fleet safety and roadside assistance,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VehicleCare secured two major insurer claims mandates expected to generate more than $20 million in combined annual revenue. As of June 30, 2026, VehicleCare verified garages and car repair workshops total 1,350+ compared to 1,200 on March 31, 2026.</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drivebuddyAI secured contracts totaling $7.8 million for AI-powered fleet safety deployments covering a 3,000-truck fleet and up to 3,600 electric commercial vehicles.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EliteCover Insurance Solutions, Inc. secured an LOI for $30 million of insurance capacity anticipated to support approximately $6 million in annual revenue, while National Automobile Club secured a contract expected to generate approximately $1.2 million annually for a digital platform serving more than 500,000 users.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Insurance Management secured several new U.K. contracts representing approximately $2.5 million in projected annual revenue.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Technology &amp; Intellectual Property:</w:t>
      </w:r>
    </w:p>
    <w:p>
      <w:pPr>
        <w:pStyle w:val="TextBody"/>
        <w:bidi w:val="0"/>
        <w:spacing w:before="0" w:after="0"/>
        <w:ind w:left="45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drivebuddyAI secured two additional patents during the quarter covering AI-based real-time road-hazard detection and geo-mapping and its Real-Time Lane Detection System, further expanding Roadzen’s proprietary AI and driver-safety technology portfolio.</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Partnerships &amp; Platform Expansion:</w:t>
      </w:r>
    </w:p>
    <w:p>
      <w:pPr>
        <w:pStyle w:val="TextBody"/>
        <w:bidi w:val="0"/>
        <w:spacing w:before="0" w:after="0"/>
        <w:ind w:left="72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Roadzen partnered with a top-10 global automaker to deliver GAP insurance across the U.K., representing its second major European OEM win since September 2025.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VehicleCare partnered with TISAG-TEMOT to strengthen parts availability and integrated claims-to-repair infrastructure across India.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was selected as a beta-testing partner for Anthropic’s Managed Agents platform for enterprise AI deployment.</w:t>
            </w:r>
          </w:p>
        </w:tc>
      </w:tr>
    </w:tbl>
    <w:p>
      <w:pPr>
        <w:pStyle w:val="TextBody"/>
        <w:bidi w:val="0"/>
        <w:spacing w:before="0" w:after="0"/>
        <w:ind w:left="45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Milestone:</w:t>
      </w:r>
    </w:p>
    <w:p>
      <w:pPr>
        <w:pStyle w:val="TextBody"/>
        <w:bidi w:val="0"/>
        <w:spacing w:before="0" w:after="0"/>
        <w:ind w:left="450" w:right="0" w:hanging="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185"/>
        <w:gridCol w:w="854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was added to the Russell 2000 and Russell 3000 indices as part of the June 2026 reconstitution.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w:t>
      </w:r>
    </w:p>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185"/>
        <w:gridCol w:w="95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5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Acquisition of Leading European MGA Provides Scaled Entry into the $27 Billion Car Rental Insurance Market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Roadzen signed a definitive agreement to acquire a leading technology-driven European MGA specializing in short-term car rental insurance. The acquisition provides Roadzen with a scaled, fully regulated European insurance platform powering more than 800,000 policies annually, with approximately $18–20 million in revenue and $1.6–2.0 million in EBITDA. The business operates a capital-light model with no underwriting risk, positive free cash flow, no debt, and durable multi-year A-rated insurance capacity, supported by proprietary technology and a lean team of approximately 20 employees. The transaction is being completed through Roadzen’s India subsidiary for stock or cash and is not expected to be directly dilutive to Roadzen’s Nasdaq shareholders, with closing anticipated in early Q3 FY2027. Strategically, the combination brings together more than a decade of proprietary short-trip pricing and underwriting data with Roadzen’s AI capabilities, creating the opportunity to deliver real-time underwriting and automated, computer-vision-led claims across the approximately $27 billion global car rental insurance market</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Roadzen Inc., please visit https://roadzen.ai/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Roadzen Inc.</w:t>
      </w:r>
      <w:r>
        <w:rPr>
          <w:rFonts w:ascii="Times New Roman;Times;Serif" w:hAnsi="Times New Roman;Times;Serif"/>
          <w:b w:val="false"/>
          <w:i w:val="false"/>
          <w:caps w:val="false"/>
          <w:smallCaps w:val="false"/>
          <w:sz w:val="20"/>
        </w:rPr>
        <w:t xml:space="preserve"> Roadzen Inc. (Nasdaq: RDZN) is a global leader in AI at the convergence of insurance and mobility. Roadzen builds technology that helps insurers, automakers, and fleets better predict and prevent risk, automate claims, and deliver seamless, embedded insurance experiences. Thousands of clients across North America, Europe, and Asia — from the world’s leading insurers, carmakers, and fleets to dealerships and agents — use Roadzen’s technology to build new products, sell insurance, process claims, and improve road safety. Roadzen’s pioneering work in telematics, generative AI, and computer vision has earned recognition from Forbes, Fortune, and Financial Express as one of the world’s top AI innovators. Headquartered in Burlingame, California, Roadzen employs more than 450 people across offices in the U.S., U.K., India, and China. Learn more at www.roadzen.ai.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Section 27A of the Securities Act of 1933, as amended (the “Securities Act”),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and “continue,” or the negative of such terms or other similar expressions. Such statements include, but are not limited to, statements regarding the anticipated benefits of our products and solutions, our expected revenue growth and anticipated Adjusted EBITDA breakeven timing, expected revenue and results from announced contracts and strategic partnerships, our ability to consummate the acquisition described in this press release when anticipated, or at all, the anticipated synergies and growth from our acquisitions, strategy, demand for our products, expansion plans, future operations, future operating results, estimated revenues, losses, projected costs, prospects, plans and objectives of management, as well as all other statements other than statements of historical fact included in this press release. Factors that might cause or contribute to such a discrepancy include, but are not limited to, those described in “Risk Factors” in our Securities and Exchange Commission (“SEC”) filings, including the annual report on Form 10-K we filed with the SEC on June 29, 2026. We urge you to consider these factors, risks and uncertainties carefully in evaluating the forward-looking statements contained in this press release. All subsequent written or oral forward-looking statements attributable to our company or persons acting on our behalf are expressly qualified in their entirety by these cautionary statements. The forward-looking statements included in this press release are made only as of the date of this release. Except as expressly required by applicable securities law, we disclaim any intention or obligation to update or revise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 Contacts: </w:t>
      </w:r>
      <w:r>
        <w:rPr>
          <w:rFonts w:ascii="Times New Roman;Times;Serif" w:hAnsi="Times New Roman;Times;Serif"/>
          <w:b w:val="false"/>
          <w:i w:val="false"/>
          <w:caps w:val="false"/>
          <w:smallCaps w:val="false"/>
          <w:sz w:val="20"/>
          <w:u w:val="single"/>
        </w:rPr>
        <w:t>IR@roadzen.ai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Contacts: Sanya Soni sanya@roadzen.ai or media@roadzen.ai</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Follow</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 except share count)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91"/>
        <w:gridCol w:w="60"/>
        <w:gridCol w:w="60"/>
        <w:gridCol w:w="1309"/>
        <w:gridCol w:w="95"/>
        <w:gridCol w:w="60"/>
        <w:gridCol w:w="62"/>
        <w:gridCol w:w="1356"/>
        <w:gridCol w:w="112"/>
      </w:tblGrid>
      <w:tr>
        <w:trPr/>
        <w:tc>
          <w:tcPr>
            <w:tcW w:w="7091" w:type="dxa"/>
            <w:tcBorders/>
            <w:vAlign w:val="center"/>
          </w:tcPr>
          <w:p>
            <w:pPr>
              <w:pStyle w:val="TableContents"/>
              <w:bidi w:val="0"/>
              <w:spacing w:before="0" w:after="283"/>
              <w:jc w:val="center"/>
              <w:rPr>
                <w:b/>
              </w:rPr>
            </w:pPr>
            <w:r>
              <w:rPr>
                <w:b/>
              </w:rPr>
              <w:t>Particulars</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jc w:val="center"/>
              <w:rPr>
                <w:b/>
              </w:rPr>
            </w:pPr>
            <w:r>
              <w:rPr>
                <w:b/>
              </w:rPr>
              <w:t>As of</w:t>
            </w:r>
          </w:p>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center"/>
          </w:tcPr>
          <w:p>
            <w:pPr>
              <w:pStyle w:val="TableContents"/>
              <w:bidi w:val="0"/>
              <w:jc w:val="center"/>
              <w:rPr>
                <w:b/>
              </w:rPr>
            </w:pPr>
            <w:r>
              <w:rPr>
                <w:b/>
              </w:rPr>
              <w:t>As of</w:t>
            </w:r>
          </w:p>
          <w:p>
            <w:pPr>
              <w:pStyle w:val="TableContents"/>
              <w:bidi w:val="0"/>
              <w:spacing w:before="0" w:after="283"/>
              <w:jc w:val="center"/>
              <w:rPr>
                <w:b/>
              </w:rPr>
            </w:pPr>
            <w:r>
              <w:rPr>
                <w:b/>
              </w:rPr>
              <w:t>March 31, 2026</w:t>
            </w:r>
          </w:p>
        </w:tc>
        <w:tc>
          <w:tcPr>
            <w:tcW w:w="112" w:type="dxa"/>
            <w:tcBorders/>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6,004,085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6,578,594</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6,938,995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7,500,439</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188,628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116,555</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pPr>
            <w:r>
              <w:rPr/>
              <w:t>Prepayments and 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13,133,834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17,833,119</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pPr>
            <w:r>
              <w:rPr/>
              <w:t>Investments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pPr>
            <w:r>
              <w:rPr/>
              <w:t>231,509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CCEEFF" w:val="clear"/>
            <w:tcMar>
              <w:bottom w:w="28" w:type="dxa"/>
            </w:tcMar>
            <w:vAlign w:val="center"/>
          </w:tcPr>
          <w:p>
            <w:pPr>
              <w:pStyle w:val="TableContents"/>
              <w:bidi w:val="0"/>
              <w:spacing w:before="0" w:after="283"/>
              <w:jc w:val="right"/>
              <w:rPr/>
            </w:pPr>
            <w:r>
              <w:rPr/>
              <w:t>229,994</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b/>
              </w:rPr>
            </w:pPr>
            <w:r>
              <w:rPr>
                <w:b/>
              </w:rPr>
              <w:t>26,497,051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b/>
              </w:rPr>
            </w:pPr>
            <w:r>
              <w:rPr>
                <w:b/>
              </w:rPr>
              <w:t>32,258,701</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b/>
              </w:rPr>
            </w:pPr>
            <w:r>
              <w:rPr>
                <w:b/>
              </w:rPr>
              <w:t>Non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217,062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222,026</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569,551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536,997</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7,621,604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7,616,973</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2,027,950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1,374,147</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9,749,705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9,651,915</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pPr>
            <w:r>
              <w:rPr/>
              <w:t>Other long-term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pPr>
            <w:r>
              <w:rPr/>
              <w:t>1,037,748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CCEEFF" w:val="clear"/>
            <w:tcMar>
              <w:bottom w:w="28" w:type="dxa"/>
            </w:tcMar>
            <w:vAlign w:val="center"/>
          </w:tcPr>
          <w:p>
            <w:pPr>
              <w:pStyle w:val="TableContents"/>
              <w:bidi w:val="0"/>
              <w:spacing w:before="0" w:after="283"/>
              <w:jc w:val="right"/>
              <w:rPr/>
            </w:pPr>
            <w:r>
              <w:rPr/>
              <w:t>997,802</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b/>
              </w:rPr>
            </w:pPr>
            <w:r>
              <w:rPr>
                <w:b/>
              </w:rPr>
              <w:t>Total Non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21,223,620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20,399,860</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47,720,671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52,658,561</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b/>
              </w:rPr>
            </w:pPr>
            <w:r>
              <w:rPr>
                <w:b/>
              </w:rPr>
              <w:t>Liabilities and shareholders’ Equity/(Deficit)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pPr>
            <w:r>
              <w:rPr/>
              <w:t>Current portion of long-term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12,511,196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9,829,713</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pPr>
            <w:r>
              <w:rPr/>
              <w:t>Short-term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6,782,103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7,843,267</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29,105,363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30,245,947</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pPr>
            <w:r>
              <w:rPr/>
              <w:t>Derivative warrant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2,422,645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1,987,003</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pPr>
            <w:r>
              <w:rPr/>
              <w:t>Short-term 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575,557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325,255</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7,594,007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FFFFFF" w:val="clear"/>
            <w:tcMar>
              <w:bottom w:w="28" w:type="dxa"/>
            </w:tcMar>
            <w:vAlign w:val="center"/>
          </w:tcPr>
          <w:p>
            <w:pPr>
              <w:pStyle w:val="TableContents"/>
              <w:bidi w:val="0"/>
              <w:spacing w:before="0" w:after="283"/>
              <w:jc w:val="right"/>
              <w:rPr/>
            </w:pPr>
            <w:r>
              <w:rPr/>
              <w:t>8,072,789</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b/>
              </w:rPr>
            </w:pPr>
            <w:r>
              <w:rPr>
                <w:b/>
              </w:rPr>
              <w:t>58,990,871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58,303,974</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b/>
              </w:rPr>
            </w:pPr>
            <w:r>
              <w:rPr>
                <w:b/>
              </w:rPr>
              <w:t>Non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pPr>
            <w:r>
              <w:rPr/>
              <w:t>Long-term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13,706,433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15,612,108</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pPr>
            <w:r>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1,129,147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699,817</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pPr>
            <w:r>
              <w:rPr/>
              <w:t>4,526,041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CCEEFF" w:val="clear"/>
            <w:tcMar>
              <w:bottom w:w="28" w:type="dxa"/>
            </w:tcMar>
            <w:vAlign w:val="center"/>
          </w:tcPr>
          <w:p>
            <w:pPr>
              <w:pStyle w:val="TableContents"/>
              <w:bidi w:val="0"/>
              <w:spacing w:before="0" w:after="283"/>
              <w:jc w:val="right"/>
              <w:rPr/>
            </w:pPr>
            <w:r>
              <w:rPr/>
              <w:t>4,561,246</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b/>
              </w:rPr>
            </w:pPr>
            <w:r>
              <w:rPr>
                <w:b/>
              </w:rPr>
              <w:t>Total Non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19,361,621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20,873,171</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78,352,492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79,177,145</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b/>
              </w:rPr>
            </w:pPr>
            <w:r>
              <w:rPr>
                <w:b/>
              </w:rPr>
              <w:t>Commitments and contingencies (refer note 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b/>
              </w:rPr>
            </w:pPr>
            <w:r>
              <w:rPr>
                <w:b/>
              </w:rPr>
              <w:t>Shareholders’ Equity/(Deficit)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pPr>
            <w:r>
              <w:rPr/>
              <w:t>Ordinary Shares and additional paid in capital, $0.0001 par value per share, 220,000,000 shares authorized as of June 30, 2026 and March 31, 2026; 84,598,480 and 79,695,672 shares outstanding as of June 30, 2026 and March 31, 2026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117,760,582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112,128,293</w:t>
            </w:r>
          </w:p>
        </w:tc>
        <w:tc>
          <w:tcPr>
            <w:tcW w:w="112"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(255,974,533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(246,224,660</w:t>
            </w:r>
          </w:p>
        </w:tc>
        <w:tc>
          <w:tcPr>
            <w:tcW w:w="112" w:type="dxa"/>
            <w:tcBorders/>
            <w:shd w:fill="FFFFFF" w:val="clear"/>
            <w:vAlign w:val="center"/>
          </w:tcPr>
          <w:p>
            <w:pPr>
              <w:pStyle w:val="TableContents"/>
              <w:bidi w:val="0"/>
              <w:spacing w:before="0" w:after="283"/>
              <w:jc w:val="left"/>
              <w:rPr/>
            </w:pPr>
            <w:r>
              <w:rPr/>
              <w:t>)</w:t>
            </w:r>
          </w:p>
        </w:tc>
      </w:tr>
      <w:tr>
        <w:trPr/>
        <w:tc>
          <w:tcPr>
            <w:tcW w:w="7091" w:type="dxa"/>
            <w:tcBorders/>
            <w:shd w:fill="CCEEFF" w:val="clear"/>
            <w:vAlign w:val="center"/>
          </w:tcPr>
          <w:p>
            <w:pPr>
              <w:pStyle w:val="TableContents"/>
              <w:bidi w:val="0"/>
              <w:spacing w:before="0" w:after="283"/>
              <w:jc w:val="left"/>
              <w:rPr/>
            </w:pPr>
            <w:r>
              <w:rPr/>
              <w:t>Accumulated other comprehensive income/(loss)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(1,195,734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(1,299,868</w:t>
            </w:r>
          </w:p>
        </w:tc>
        <w:tc>
          <w:tcPr>
            <w:tcW w:w="112" w:type="dxa"/>
            <w:tcBorders/>
            <w:shd w:fill="CCEEFF" w:val="clear"/>
            <w:vAlign w:val="center"/>
          </w:tcPr>
          <w:p>
            <w:pPr>
              <w:pStyle w:val="TableContents"/>
              <w:bidi w:val="0"/>
              <w:spacing w:before="0" w:after="283"/>
              <w:jc w:val="left"/>
              <w:rPr/>
            </w:pPr>
            <w:r>
              <w:rPr/>
              <w:t>)</w:t>
            </w:r>
          </w:p>
        </w:tc>
      </w:tr>
      <w:tr>
        <w:trPr/>
        <w:tc>
          <w:tcPr>
            <w:tcW w:w="7091" w:type="dxa"/>
            <w:tcBorders/>
            <w:shd w:fill="FFFFFF" w:val="clear"/>
            <w:vAlign w:val="center"/>
          </w:tcPr>
          <w:p>
            <w:pPr>
              <w:pStyle w:val="TableContents"/>
              <w:bidi w:val="0"/>
              <w:spacing w:before="0" w:after="283"/>
              <w:jc w:val="left"/>
              <w:rPr/>
            </w:pPr>
            <w:r>
              <w:rPr/>
              <w:t>Other components of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105,611,372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FFFFFF" w:val="clear"/>
            <w:tcMar>
              <w:bottom w:w="28" w:type="dxa"/>
            </w:tcMar>
            <w:vAlign w:val="center"/>
          </w:tcPr>
          <w:p>
            <w:pPr>
              <w:pStyle w:val="TableContents"/>
              <w:bidi w:val="0"/>
              <w:spacing w:before="0" w:after="283"/>
              <w:jc w:val="right"/>
              <w:rPr/>
            </w:pPr>
            <w:r>
              <w:rPr/>
              <w:t>105,747,998</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b/>
              </w:rPr>
            </w:pPr>
            <w:r>
              <w:rPr>
                <w:b/>
              </w:rPr>
              <w:t>Total shareholders’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b/>
              </w:rPr>
            </w:pPr>
            <w:r>
              <w:rPr>
                <w:b/>
              </w:rPr>
              <w:t>(33,798,313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(29,648,237</w:t>
            </w:r>
          </w:p>
        </w:tc>
        <w:tc>
          <w:tcPr>
            <w:tcW w:w="112" w:type="dxa"/>
            <w:tcBorders/>
            <w:shd w:fill="CCEEFF" w:val="clear"/>
            <w:vAlign w:val="center"/>
          </w:tcPr>
          <w:p>
            <w:pPr>
              <w:pStyle w:val="TableContents"/>
              <w:bidi w:val="0"/>
              <w:spacing w:before="0" w:after="283"/>
              <w:jc w:val="left"/>
              <w:rPr>
                <w:b/>
              </w:rPr>
            </w:pPr>
            <w:r>
              <w:rPr>
                <w:b/>
              </w:rPr>
              <w:t>)</w:t>
            </w:r>
          </w:p>
        </w:tc>
      </w:tr>
      <w:tr>
        <w:trPr/>
        <w:tc>
          <w:tcPr>
            <w:tcW w:w="7091"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3,166,492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3,129,653</w:t>
            </w:r>
          </w:p>
        </w:tc>
        <w:tc>
          <w:tcPr>
            <w:tcW w:w="112"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b/>
              </w:rPr>
            </w:pPr>
            <w:r>
              <w:rPr>
                <w:b/>
              </w:rPr>
              <w:t>Total deficit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(30,631,821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(26,518,584</w:t>
            </w:r>
          </w:p>
        </w:tc>
        <w:tc>
          <w:tcPr>
            <w:tcW w:w="112" w:type="dxa"/>
            <w:tcBorders/>
            <w:shd w:fill="CCEEFF" w:val="clear"/>
            <w:vAlign w:val="center"/>
          </w:tcPr>
          <w:p>
            <w:pPr>
              <w:pStyle w:val="TableContents"/>
              <w:bidi w:val="0"/>
              <w:spacing w:before="0" w:after="283"/>
              <w:jc w:val="left"/>
              <w:rPr>
                <w:b/>
              </w:rPr>
            </w:pPr>
            <w:r>
              <w:rPr>
                <w:b/>
              </w:rPr>
              <w:t>)</w:t>
            </w:r>
          </w:p>
        </w:tc>
      </w:tr>
      <w:tr>
        <w:trPr/>
        <w:tc>
          <w:tcPr>
            <w:tcW w:w="7091" w:type="dxa"/>
            <w:tcBorders/>
            <w:shd w:fill="FFFFFF" w:val="clear"/>
            <w:vAlign w:val="center"/>
          </w:tcPr>
          <w:p>
            <w:pPr>
              <w:pStyle w:val="TableContents"/>
              <w:bidi w:val="0"/>
              <w:spacing w:before="0" w:after="283"/>
              <w:jc w:val="left"/>
              <w:rPr>
                <w:b/>
              </w:rPr>
            </w:pPr>
            <w:r>
              <w:rPr>
                <w:b/>
              </w:rPr>
              <w:t>Total liabilities and Total Deficit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47,720,671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52,658,561</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 except share count)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08"/>
        <w:gridCol w:w="60"/>
        <w:gridCol w:w="87"/>
        <w:gridCol w:w="1611"/>
        <w:gridCol w:w="139"/>
        <w:gridCol w:w="87"/>
        <w:gridCol w:w="87"/>
        <w:gridCol w:w="1611"/>
        <w:gridCol w:w="115"/>
      </w:tblGrid>
      <w:tr>
        <w:trPr/>
        <w:tc>
          <w:tcPr>
            <w:tcW w:w="64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2"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three months ended June 30,</w:t>
            </w:r>
          </w:p>
        </w:tc>
        <w:tc>
          <w:tcPr>
            <w:tcW w:w="115" w:type="dxa"/>
            <w:tcBorders/>
            <w:shd w:fill="FFFFFF" w:val="clear"/>
            <w:vAlign w:val="center"/>
          </w:tcPr>
          <w:p>
            <w:pPr>
              <w:pStyle w:val="TableContents"/>
              <w:bidi w:val="0"/>
              <w:spacing w:before="0" w:after="283"/>
              <w:jc w:val="left"/>
              <w:rPr/>
            </w:pPr>
            <w:r>
              <w:rPr/>
              <w:t> </w:t>
            </w:r>
          </w:p>
        </w:tc>
      </w:tr>
      <w:tr>
        <w:trPr/>
        <w:tc>
          <w:tcPr>
            <w:tcW w:w="6408"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Particulars</w:t>
            </w:r>
          </w:p>
        </w:tc>
        <w:tc>
          <w:tcPr>
            <w:tcW w:w="60" w:type="dxa"/>
            <w:tcBorders/>
            <w:shd w:fill="FFFFFF" w:val="clear"/>
            <w:vAlign w:val="center"/>
          </w:tcPr>
          <w:p>
            <w:pPr>
              <w:pStyle w:val="TableContents"/>
              <w:bidi w:val="0"/>
              <w:spacing w:before="0" w:after="283"/>
              <w:jc w:val="center"/>
              <w:rPr/>
            </w:pPr>
            <w:r>
              <w:rPr/>
              <w:t> </w:t>
            </w:r>
          </w:p>
        </w:tc>
        <w:tc>
          <w:tcPr>
            <w:tcW w:w="1698"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39" w:type="dxa"/>
            <w:tcBorders/>
            <w:shd w:fill="FFFFFF" w:val="clear"/>
            <w:vAlign w:val="center"/>
          </w:tcPr>
          <w:p>
            <w:pPr>
              <w:pStyle w:val="TableContents"/>
              <w:bidi w:val="0"/>
              <w:spacing w:before="0" w:after="283"/>
              <w:jc w:val="center"/>
              <w:rPr/>
            </w:pPr>
            <w:r>
              <w:rPr/>
              <w:t> </w:t>
            </w:r>
          </w:p>
        </w:tc>
        <w:tc>
          <w:tcPr>
            <w:tcW w:w="87" w:type="dxa"/>
            <w:tcBorders/>
            <w:shd w:fill="FFFFFF" w:val="clear"/>
            <w:vAlign w:val="center"/>
          </w:tcPr>
          <w:p>
            <w:pPr>
              <w:pStyle w:val="TableContents"/>
              <w:bidi w:val="0"/>
              <w:spacing w:before="0" w:after="283"/>
              <w:jc w:val="center"/>
              <w:rPr/>
            </w:pPr>
            <w:r>
              <w:rPr/>
              <w:t> </w:t>
            </w:r>
          </w:p>
        </w:tc>
        <w:tc>
          <w:tcPr>
            <w:tcW w:w="1698"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5" w:type="dxa"/>
            <w:tcBorders/>
            <w:shd w:fill="FFFFFF" w:val="clear"/>
            <w:vAlign w:val="center"/>
          </w:tcPr>
          <w:p>
            <w:pPr>
              <w:pStyle w:val="TableContents"/>
              <w:bidi w:val="0"/>
              <w:spacing w:before="0" w:after="283"/>
              <w:jc w:val="center"/>
              <w:rPr/>
            </w:pPr>
            <w:r>
              <w:rPr/>
              <w:t> </w:t>
            </w:r>
          </w:p>
        </w:tc>
      </w:tr>
      <w:tr>
        <w:trPr/>
        <w:tc>
          <w:tcPr>
            <w:tcW w:w="6408"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16,194,324</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10,865,545</w:t>
            </w:r>
          </w:p>
        </w:tc>
        <w:tc>
          <w:tcPr>
            <w:tcW w:w="115" w:type="dxa"/>
            <w:tcBorders/>
            <w:shd w:fill="CCEEFF" w:val="clear"/>
            <w:vAlign w:val="center"/>
          </w:tcPr>
          <w:p>
            <w:pPr>
              <w:pStyle w:val="TableContents"/>
              <w:bidi w:val="0"/>
              <w:spacing w:before="0" w:after="283"/>
              <w:jc w:val="left"/>
              <w:rPr/>
            </w:pPr>
            <w:r>
              <w:rPr/>
              <w:t> </w:t>
            </w:r>
          </w:p>
        </w:tc>
      </w:tr>
      <w:tr>
        <w:trPr/>
        <w:tc>
          <w:tcPr>
            <w:tcW w:w="6408" w:type="dxa"/>
            <w:tcBorders/>
            <w:shd w:fill="FFFFFF" w:val="clear"/>
            <w:vAlign w:val="center"/>
          </w:tcPr>
          <w:p>
            <w:pPr>
              <w:pStyle w:val="TableContents"/>
              <w:bidi w:val="0"/>
              <w:spacing w:before="0" w:after="283"/>
              <w:jc w:val="left"/>
              <w:rPr>
                <w:b/>
              </w:rPr>
            </w:pPr>
            <w:r>
              <w:rPr>
                <w:b/>
              </w:rPr>
              <w:t>Costs and expenses: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408" w:type="dxa"/>
            <w:tcBorders/>
            <w:shd w:fill="CCEEFF" w:val="clear"/>
            <w:vAlign w:val="center"/>
          </w:tcPr>
          <w:p>
            <w:pPr>
              <w:pStyle w:val="TableContents"/>
              <w:bidi w:val="0"/>
              <w:spacing w:before="0" w:after="283"/>
              <w:jc w:val="left"/>
              <w:rPr/>
            </w:pPr>
            <w:r>
              <w:rPr/>
              <w:t>Cost of services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6,923,789</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4,469,453</w:t>
            </w:r>
          </w:p>
        </w:tc>
        <w:tc>
          <w:tcPr>
            <w:tcW w:w="115" w:type="dxa"/>
            <w:tcBorders/>
            <w:shd w:fill="CCEEFF" w:val="clear"/>
            <w:vAlign w:val="center"/>
          </w:tcPr>
          <w:p>
            <w:pPr>
              <w:pStyle w:val="TableContents"/>
              <w:bidi w:val="0"/>
              <w:spacing w:before="0" w:after="283"/>
              <w:jc w:val="left"/>
              <w:rPr/>
            </w:pPr>
            <w:r>
              <w:rPr/>
              <w:t> </w:t>
            </w:r>
          </w:p>
        </w:tc>
      </w:tr>
      <w:tr>
        <w:trPr/>
        <w:tc>
          <w:tcPr>
            <w:tcW w:w="6408"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pPr>
            <w:r>
              <w:rPr/>
              <w:t>419,115</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pPr>
            <w:r>
              <w:rPr/>
              <w:t>81,534</w:t>
            </w:r>
          </w:p>
        </w:tc>
        <w:tc>
          <w:tcPr>
            <w:tcW w:w="115" w:type="dxa"/>
            <w:tcBorders/>
            <w:shd w:fill="FFFFFF" w:val="clear"/>
            <w:vAlign w:val="center"/>
          </w:tcPr>
          <w:p>
            <w:pPr>
              <w:pStyle w:val="TableContents"/>
              <w:bidi w:val="0"/>
              <w:spacing w:before="0" w:after="283"/>
              <w:jc w:val="left"/>
              <w:rPr/>
            </w:pPr>
            <w:r>
              <w:rPr/>
              <w:t> </w:t>
            </w:r>
          </w:p>
        </w:tc>
      </w:tr>
      <w:tr>
        <w:trPr/>
        <w:tc>
          <w:tcPr>
            <w:tcW w:w="6408"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7,206,127</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6,132,010</w:t>
            </w:r>
          </w:p>
        </w:tc>
        <w:tc>
          <w:tcPr>
            <w:tcW w:w="115" w:type="dxa"/>
            <w:tcBorders/>
            <w:shd w:fill="CCEEFF" w:val="clear"/>
            <w:vAlign w:val="center"/>
          </w:tcPr>
          <w:p>
            <w:pPr>
              <w:pStyle w:val="TableContents"/>
              <w:bidi w:val="0"/>
              <w:spacing w:before="0" w:after="283"/>
              <w:jc w:val="left"/>
              <w:rPr/>
            </w:pPr>
            <w:r>
              <w:rPr/>
              <w:t> </w:t>
            </w:r>
          </w:p>
        </w:tc>
      </w:tr>
      <w:tr>
        <w:trPr/>
        <w:tc>
          <w:tcPr>
            <w:tcW w:w="6408"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pPr>
            <w:r>
              <w:rPr/>
              <w:t>2,458,724</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pPr>
            <w:r>
              <w:rPr/>
              <w:t>2,577,897</w:t>
            </w:r>
          </w:p>
        </w:tc>
        <w:tc>
          <w:tcPr>
            <w:tcW w:w="115" w:type="dxa"/>
            <w:tcBorders/>
            <w:shd w:fill="FFFFFF" w:val="clear"/>
            <w:vAlign w:val="center"/>
          </w:tcPr>
          <w:p>
            <w:pPr>
              <w:pStyle w:val="TableContents"/>
              <w:bidi w:val="0"/>
              <w:spacing w:before="0" w:after="283"/>
              <w:jc w:val="left"/>
              <w:rPr/>
            </w:pPr>
            <w:r>
              <w:rPr/>
              <w:t> </w:t>
            </w:r>
          </w:p>
        </w:tc>
      </w:tr>
      <w:tr>
        <w:trPr/>
        <w:tc>
          <w:tcPr>
            <w:tcW w:w="6408"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1" w:type="dxa"/>
            <w:tcBorders>
              <w:bottom w:val="single" w:sz="8" w:space="0" w:color="000000"/>
            </w:tcBorders>
            <w:shd w:fill="CCEEFF" w:val="clear"/>
            <w:tcMar>
              <w:bottom w:w="28" w:type="dxa"/>
            </w:tcMar>
            <w:vAlign w:val="center"/>
          </w:tcPr>
          <w:p>
            <w:pPr>
              <w:pStyle w:val="TableContents"/>
              <w:bidi w:val="0"/>
              <w:spacing w:before="0" w:after="283"/>
              <w:jc w:val="right"/>
              <w:rPr/>
            </w:pPr>
            <w:r>
              <w:rPr/>
              <w:t>729,516</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1" w:type="dxa"/>
            <w:tcBorders>
              <w:bottom w:val="single" w:sz="8" w:space="0" w:color="000000"/>
            </w:tcBorders>
            <w:shd w:fill="CCEEFF" w:val="clear"/>
            <w:tcMar>
              <w:bottom w:w="28" w:type="dxa"/>
            </w:tcMar>
            <w:vAlign w:val="center"/>
          </w:tcPr>
          <w:p>
            <w:pPr>
              <w:pStyle w:val="TableContents"/>
              <w:bidi w:val="0"/>
              <w:spacing w:before="0" w:after="283"/>
              <w:jc w:val="right"/>
              <w:rPr/>
            </w:pPr>
            <w:r>
              <w:rPr/>
              <w:t>125,000</w:t>
            </w:r>
          </w:p>
        </w:tc>
        <w:tc>
          <w:tcPr>
            <w:tcW w:w="115" w:type="dxa"/>
            <w:tcBorders/>
            <w:shd w:fill="CCEEFF" w:val="clear"/>
            <w:vAlign w:val="center"/>
          </w:tcPr>
          <w:p>
            <w:pPr>
              <w:pStyle w:val="TableContents"/>
              <w:bidi w:val="0"/>
              <w:spacing w:before="0" w:after="283"/>
              <w:jc w:val="left"/>
              <w:rPr/>
            </w:pPr>
            <w:r>
              <w:rPr/>
              <w:t> </w:t>
            </w:r>
          </w:p>
        </w:tc>
      </w:tr>
      <w:tr>
        <w:trPr/>
        <w:tc>
          <w:tcPr>
            <w:tcW w:w="6408" w:type="dxa"/>
            <w:tcBorders/>
            <w:shd w:fill="FFFFFF" w:val="clear"/>
            <w:vAlign w:val="center"/>
          </w:tcPr>
          <w:p>
            <w:pPr>
              <w:pStyle w:val="TableContents"/>
              <w:bidi w:val="0"/>
              <w:spacing w:before="0" w:after="283"/>
              <w:jc w:val="left"/>
              <w:rPr>
                <w:b/>
              </w:rPr>
            </w:pPr>
            <w:r>
              <w:rPr>
                <w:b/>
              </w:rPr>
              <w:t>Total costs and expenses</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17,737,272</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13,385,894</w:t>
            </w:r>
          </w:p>
        </w:tc>
        <w:tc>
          <w:tcPr>
            <w:tcW w:w="115" w:type="dxa"/>
            <w:tcBorders/>
            <w:shd w:fill="FFFFFF" w:val="clear"/>
            <w:vAlign w:val="center"/>
          </w:tcPr>
          <w:p>
            <w:pPr>
              <w:pStyle w:val="TableContents"/>
              <w:bidi w:val="0"/>
              <w:spacing w:before="0" w:after="283"/>
              <w:jc w:val="left"/>
              <w:rPr/>
            </w:pPr>
            <w:r>
              <w:rPr/>
              <w:t> </w:t>
            </w:r>
          </w:p>
        </w:tc>
      </w:tr>
      <w:tr>
        <w:trPr/>
        <w:tc>
          <w:tcPr>
            <w:tcW w:w="6408"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b/>
              </w:rPr>
            </w:pPr>
            <w:r>
              <w:rPr>
                <w:b/>
              </w:rPr>
              <w:t>(1,542,948</w:t>
            </w:r>
          </w:p>
        </w:tc>
        <w:tc>
          <w:tcPr>
            <w:tcW w:w="139" w:type="dxa"/>
            <w:tcBorders/>
            <w:shd w:fill="CCEEFF" w:val="clear"/>
            <w:vAlign w:val="center"/>
          </w:tcPr>
          <w:p>
            <w:pPr>
              <w:pStyle w:val="TableContents"/>
              <w:bidi w:val="0"/>
              <w:spacing w:before="0" w:after="283"/>
              <w:jc w:val="left"/>
              <w:rPr>
                <w:b/>
              </w:rPr>
            </w:pPr>
            <w:r>
              <w:rPr>
                <w:b/>
              </w:rPr>
              <w:t>)</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b/>
              </w:rPr>
            </w:pPr>
            <w:r>
              <w:rPr>
                <w:b/>
              </w:rPr>
              <w:t>(2,520,348</w:t>
            </w:r>
          </w:p>
        </w:tc>
        <w:tc>
          <w:tcPr>
            <w:tcW w:w="115" w:type="dxa"/>
            <w:tcBorders/>
            <w:shd w:fill="CCEEFF" w:val="clear"/>
            <w:vAlign w:val="center"/>
          </w:tcPr>
          <w:p>
            <w:pPr>
              <w:pStyle w:val="TableContents"/>
              <w:bidi w:val="0"/>
              <w:spacing w:before="0" w:after="283"/>
              <w:jc w:val="left"/>
              <w:rPr>
                <w:b/>
              </w:rPr>
            </w:pPr>
            <w:r>
              <w:rPr>
                <w:b/>
              </w:rPr>
              <w:t>)</w:t>
            </w:r>
          </w:p>
        </w:tc>
      </w:tr>
      <w:tr>
        <w:trPr/>
        <w:tc>
          <w:tcPr>
            <w:tcW w:w="6408"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pPr>
            <w:r>
              <w:rPr/>
              <w:t>(2,854,699</w:t>
            </w:r>
          </w:p>
        </w:tc>
        <w:tc>
          <w:tcPr>
            <w:tcW w:w="139"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pPr>
            <w:r>
              <w:rPr/>
              <w:t>(941,319</w:t>
            </w:r>
          </w:p>
        </w:tc>
        <w:tc>
          <w:tcPr>
            <w:tcW w:w="115" w:type="dxa"/>
            <w:tcBorders/>
            <w:shd w:fill="FFFFFF" w:val="clear"/>
            <w:vAlign w:val="center"/>
          </w:tcPr>
          <w:p>
            <w:pPr>
              <w:pStyle w:val="TableContents"/>
              <w:bidi w:val="0"/>
              <w:spacing w:before="0" w:after="283"/>
              <w:jc w:val="left"/>
              <w:rPr/>
            </w:pPr>
            <w:r>
              <w:rPr/>
              <w:t>)</w:t>
            </w:r>
          </w:p>
        </w:tc>
      </w:tr>
      <w:tr>
        <w:trPr/>
        <w:tc>
          <w:tcPr>
            <w:tcW w:w="6408" w:type="dxa"/>
            <w:tcBorders/>
            <w:shd w:fill="CCEEFF" w:val="clear"/>
            <w:vAlign w:val="center"/>
          </w:tcPr>
          <w:p>
            <w:pPr>
              <w:pStyle w:val="TableContents"/>
              <w:bidi w:val="0"/>
              <w:spacing w:before="0" w:after="283"/>
              <w:jc w:val="left"/>
              <w:rPr/>
            </w:pPr>
            <w:r>
              <w:rPr/>
              <w:t>Fair value gains/(losses) in financial instruments carried at fair value</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(7,210,865</w:t>
            </w:r>
          </w:p>
        </w:tc>
        <w:tc>
          <w:tcPr>
            <w:tcW w:w="139"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(511,538</w:t>
            </w:r>
          </w:p>
        </w:tc>
        <w:tc>
          <w:tcPr>
            <w:tcW w:w="115" w:type="dxa"/>
            <w:tcBorders/>
            <w:shd w:fill="CCEEFF" w:val="clear"/>
            <w:vAlign w:val="center"/>
          </w:tcPr>
          <w:p>
            <w:pPr>
              <w:pStyle w:val="TableContents"/>
              <w:bidi w:val="0"/>
              <w:spacing w:before="0" w:after="283"/>
              <w:jc w:val="left"/>
              <w:rPr/>
            </w:pPr>
            <w:r>
              <w:rPr/>
              <w:t>)</w:t>
            </w:r>
          </w:p>
        </w:tc>
      </w:tr>
      <w:tr>
        <w:trPr/>
        <w:tc>
          <w:tcPr>
            <w:tcW w:w="6408"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1" w:type="dxa"/>
            <w:tcBorders>
              <w:bottom w:val="single" w:sz="8" w:space="0" w:color="000000"/>
            </w:tcBorders>
            <w:shd w:fill="FFFFFF" w:val="clear"/>
            <w:tcMar>
              <w:bottom w:w="28" w:type="dxa"/>
            </w:tcMar>
            <w:vAlign w:val="center"/>
          </w:tcPr>
          <w:p>
            <w:pPr>
              <w:pStyle w:val="TableContents"/>
              <w:bidi w:val="0"/>
              <w:spacing w:before="0" w:after="283"/>
              <w:jc w:val="right"/>
              <w:rPr/>
            </w:pPr>
            <w:r>
              <w:rPr/>
              <w:t>1,837,757</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1" w:type="dxa"/>
            <w:tcBorders>
              <w:bottom w:val="single" w:sz="8" w:space="0" w:color="000000"/>
            </w:tcBorders>
            <w:shd w:fill="FFFFFF" w:val="clear"/>
            <w:tcMar>
              <w:bottom w:w="28" w:type="dxa"/>
            </w:tcMar>
            <w:vAlign w:val="center"/>
          </w:tcPr>
          <w:p>
            <w:pPr>
              <w:pStyle w:val="TableContents"/>
              <w:bidi w:val="0"/>
              <w:spacing w:before="0" w:after="283"/>
              <w:jc w:val="right"/>
              <w:rPr/>
            </w:pPr>
            <w:r>
              <w:rPr/>
              <w:t>(47,922</w:t>
            </w:r>
          </w:p>
        </w:tc>
        <w:tc>
          <w:tcPr>
            <w:tcW w:w="115" w:type="dxa"/>
            <w:tcBorders/>
            <w:shd w:fill="FFFFFF" w:val="clear"/>
            <w:vAlign w:val="center"/>
          </w:tcPr>
          <w:p>
            <w:pPr>
              <w:pStyle w:val="TableContents"/>
              <w:bidi w:val="0"/>
              <w:spacing w:before="0" w:after="283"/>
              <w:jc w:val="left"/>
              <w:rPr/>
            </w:pPr>
            <w:r>
              <w:rPr/>
              <w:t>)</w:t>
            </w:r>
          </w:p>
        </w:tc>
      </w:tr>
      <w:tr>
        <w:trPr/>
        <w:tc>
          <w:tcPr>
            <w:tcW w:w="6408" w:type="dxa"/>
            <w:tcBorders/>
            <w:shd w:fill="CCEEFF" w:val="clear"/>
            <w:vAlign w:val="center"/>
          </w:tcPr>
          <w:p>
            <w:pPr>
              <w:pStyle w:val="TableContents"/>
              <w:bidi w:val="0"/>
              <w:spacing w:before="0" w:after="283"/>
              <w:jc w:val="left"/>
              <w:rPr>
                <w:b/>
              </w:rPr>
            </w:pPr>
            <w:r>
              <w:rPr>
                <w:b/>
              </w:rPr>
              <w:t>Total other income/(expense)</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(8,227,807</w:t>
            </w:r>
          </w:p>
        </w:tc>
        <w:tc>
          <w:tcPr>
            <w:tcW w:w="139" w:type="dxa"/>
            <w:tcBorders/>
            <w:shd w:fill="CCEEFF" w:val="clear"/>
            <w:vAlign w:val="center"/>
          </w:tcPr>
          <w:p>
            <w:pPr>
              <w:pStyle w:val="TableContents"/>
              <w:bidi w:val="0"/>
              <w:spacing w:before="0" w:after="283"/>
              <w:jc w:val="left"/>
              <w:rPr>
                <w:b/>
              </w:rPr>
            </w:pPr>
            <w:r>
              <w:rPr>
                <w:b/>
              </w:rPr>
              <w:t>)</w:t>
            </w:r>
          </w:p>
        </w:tc>
        <w:tc>
          <w:tcPr>
            <w:tcW w:w="87"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(1,500,779</w:t>
            </w:r>
          </w:p>
        </w:tc>
        <w:tc>
          <w:tcPr>
            <w:tcW w:w="115" w:type="dxa"/>
            <w:tcBorders/>
            <w:shd w:fill="CCEEFF" w:val="clear"/>
            <w:vAlign w:val="center"/>
          </w:tcPr>
          <w:p>
            <w:pPr>
              <w:pStyle w:val="TableContents"/>
              <w:bidi w:val="0"/>
              <w:spacing w:before="0" w:after="283"/>
              <w:jc w:val="left"/>
              <w:rPr>
                <w:b/>
              </w:rPr>
            </w:pPr>
            <w:r>
              <w:rPr>
                <w:b/>
              </w:rPr>
              <w:t>)</w:t>
            </w:r>
          </w:p>
        </w:tc>
      </w:tr>
      <w:tr>
        <w:trPr/>
        <w:tc>
          <w:tcPr>
            <w:tcW w:w="6408" w:type="dxa"/>
            <w:tcBorders/>
            <w:shd w:fill="FFFFFF" w:val="clear"/>
            <w:vAlign w:val="center"/>
          </w:tcPr>
          <w:p>
            <w:pPr>
              <w:pStyle w:val="TableContents"/>
              <w:bidi w:val="0"/>
              <w:spacing w:before="0" w:after="283"/>
              <w:jc w:val="left"/>
              <w:rPr>
                <w:b/>
              </w:rPr>
            </w:pPr>
            <w:r>
              <w:rPr>
                <w:b/>
              </w:rPr>
              <w:t>(Loss)/Income before income tax expense</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b/>
              </w:rPr>
            </w:pPr>
            <w:r>
              <w:rPr>
                <w:b/>
              </w:rPr>
              <w:t>(9,770,755</w:t>
            </w:r>
          </w:p>
        </w:tc>
        <w:tc>
          <w:tcPr>
            <w:tcW w:w="139" w:type="dxa"/>
            <w:tcBorders/>
            <w:shd w:fill="FFFFFF" w:val="clear"/>
            <w:vAlign w:val="center"/>
          </w:tcPr>
          <w:p>
            <w:pPr>
              <w:pStyle w:val="TableContents"/>
              <w:bidi w:val="0"/>
              <w:spacing w:before="0" w:after="283"/>
              <w:jc w:val="left"/>
              <w:rPr>
                <w:b/>
              </w:rPr>
            </w:pPr>
            <w:r>
              <w:rPr>
                <w:b/>
              </w:rPr>
              <w:t>)</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b/>
              </w:rPr>
            </w:pPr>
            <w:r>
              <w:rPr>
                <w:b/>
              </w:rPr>
              <w:t>(4,021,128</w:t>
            </w:r>
          </w:p>
        </w:tc>
        <w:tc>
          <w:tcPr>
            <w:tcW w:w="115" w:type="dxa"/>
            <w:tcBorders/>
            <w:shd w:fill="FFFFFF" w:val="clear"/>
            <w:vAlign w:val="center"/>
          </w:tcPr>
          <w:p>
            <w:pPr>
              <w:pStyle w:val="TableContents"/>
              <w:bidi w:val="0"/>
              <w:spacing w:before="0" w:after="283"/>
              <w:jc w:val="left"/>
              <w:rPr>
                <w:b/>
              </w:rPr>
            </w:pPr>
            <w:r>
              <w:rPr>
                <w:b/>
              </w:rPr>
              <w:t>)</w:t>
            </w:r>
          </w:p>
        </w:tc>
      </w:tr>
      <w:tr>
        <w:trPr/>
        <w:tc>
          <w:tcPr>
            <w:tcW w:w="6408" w:type="dxa"/>
            <w:tcBorders/>
            <w:shd w:fill="CCEEFF" w:val="clear"/>
            <w:vAlign w:val="center"/>
          </w:tcPr>
          <w:p>
            <w:pPr>
              <w:pStyle w:val="TableContents"/>
              <w:bidi w:val="0"/>
              <w:spacing w:before="0" w:after="283"/>
              <w:jc w:val="left"/>
              <w:rPr/>
            </w:pPr>
            <w:r>
              <w:rPr/>
              <w:t>Less: income tax (benefit)/expense</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1" w:type="dxa"/>
            <w:tcBorders>
              <w:bottom w:val="single" w:sz="8" w:space="0" w:color="000000"/>
            </w:tcBorders>
            <w:shd w:fill="CCEEFF" w:val="clear"/>
            <w:tcMar>
              <w:bottom w:w="28" w:type="dxa"/>
            </w:tcMar>
            <w:vAlign w:val="center"/>
          </w:tcPr>
          <w:p>
            <w:pPr>
              <w:pStyle w:val="TableContents"/>
              <w:bidi w:val="0"/>
              <w:spacing w:before="0" w:after="283"/>
              <w:jc w:val="right"/>
              <w:rPr/>
            </w:pPr>
            <w:r>
              <w:rPr/>
              <w:t>(6,620</w:t>
            </w:r>
          </w:p>
        </w:tc>
        <w:tc>
          <w:tcPr>
            <w:tcW w:w="139"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1" w:type="dxa"/>
            <w:tcBorders>
              <w:bottom w:val="single" w:sz="8" w:space="0" w:color="000000"/>
            </w:tcBorders>
            <w:shd w:fill="CCEEFF" w:val="clear"/>
            <w:tcMar>
              <w:bottom w:w="28" w:type="dxa"/>
            </w:tcMar>
            <w:vAlign w:val="center"/>
          </w:tcPr>
          <w:p>
            <w:pPr>
              <w:pStyle w:val="TableContents"/>
              <w:bidi w:val="0"/>
              <w:spacing w:before="0" w:after="283"/>
              <w:jc w:val="right"/>
              <w:rPr/>
            </w:pPr>
            <w:r>
              <w:rPr/>
              <w:t>79,979</w:t>
            </w:r>
          </w:p>
        </w:tc>
        <w:tc>
          <w:tcPr>
            <w:tcW w:w="115" w:type="dxa"/>
            <w:tcBorders/>
            <w:shd w:fill="CCEEFF" w:val="clear"/>
            <w:vAlign w:val="center"/>
          </w:tcPr>
          <w:p>
            <w:pPr>
              <w:pStyle w:val="TableContents"/>
              <w:bidi w:val="0"/>
              <w:spacing w:before="0" w:after="283"/>
              <w:jc w:val="left"/>
              <w:rPr/>
            </w:pPr>
            <w:r>
              <w:rPr/>
              <w:t> </w:t>
            </w:r>
          </w:p>
        </w:tc>
      </w:tr>
      <w:tr>
        <w:trPr/>
        <w:tc>
          <w:tcPr>
            <w:tcW w:w="6408" w:type="dxa"/>
            <w:tcBorders/>
            <w:shd w:fill="FFFFFF" w:val="clear"/>
            <w:vAlign w:val="center"/>
          </w:tcPr>
          <w:p>
            <w:pPr>
              <w:pStyle w:val="TableContents"/>
              <w:bidi w:val="0"/>
              <w:spacing w:before="0" w:after="283"/>
              <w:jc w:val="left"/>
              <w:rPr>
                <w:b/>
              </w:rPr>
            </w:pPr>
            <w:r>
              <w:rPr>
                <w:b/>
              </w:rPr>
              <w:t>Net (loss)/income before non-controlling interest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b/>
              </w:rPr>
            </w:pPr>
            <w:r>
              <w:rPr>
                <w:b/>
              </w:rPr>
              <w:t>(9,764,135</w:t>
            </w:r>
          </w:p>
        </w:tc>
        <w:tc>
          <w:tcPr>
            <w:tcW w:w="139" w:type="dxa"/>
            <w:tcBorders/>
            <w:shd w:fill="FFFFFF" w:val="clear"/>
            <w:vAlign w:val="center"/>
          </w:tcPr>
          <w:p>
            <w:pPr>
              <w:pStyle w:val="TableContents"/>
              <w:bidi w:val="0"/>
              <w:spacing w:before="0" w:after="283"/>
              <w:jc w:val="left"/>
              <w:rPr>
                <w:b/>
              </w:rPr>
            </w:pPr>
            <w:r>
              <w:rPr>
                <w:b/>
              </w:rPr>
              <w:t>)</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b/>
              </w:rPr>
            </w:pPr>
            <w:r>
              <w:rPr>
                <w:b/>
              </w:rPr>
              <w:t>(4,101,107</w:t>
            </w:r>
          </w:p>
        </w:tc>
        <w:tc>
          <w:tcPr>
            <w:tcW w:w="115" w:type="dxa"/>
            <w:tcBorders/>
            <w:shd w:fill="FFFFFF" w:val="clear"/>
            <w:vAlign w:val="center"/>
          </w:tcPr>
          <w:p>
            <w:pPr>
              <w:pStyle w:val="TableContents"/>
              <w:bidi w:val="0"/>
              <w:spacing w:before="0" w:after="283"/>
              <w:jc w:val="left"/>
              <w:rPr>
                <w:b/>
              </w:rPr>
            </w:pPr>
            <w:r>
              <w:rPr>
                <w:b/>
              </w:rPr>
              <w:t>)</w:t>
            </w:r>
          </w:p>
        </w:tc>
      </w:tr>
      <w:tr>
        <w:trPr/>
        <w:tc>
          <w:tcPr>
            <w:tcW w:w="6408" w:type="dxa"/>
            <w:tcBorders/>
            <w:shd w:fill="CCEEFF" w:val="clear"/>
            <w:vAlign w:val="center"/>
          </w:tcPr>
          <w:p>
            <w:pPr>
              <w:pStyle w:val="TableContents"/>
              <w:bidi w:val="0"/>
              <w:spacing w:before="0" w:after="283"/>
              <w:jc w:val="left"/>
              <w:rPr/>
            </w:pPr>
            <w:r>
              <w:rPr/>
              <w:t>Net loss attributable to non-controlling interest, net of tax</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1" w:type="dxa"/>
            <w:tcBorders>
              <w:bottom w:val="single" w:sz="8" w:space="0" w:color="000000"/>
            </w:tcBorders>
            <w:shd w:fill="CCEEFF" w:val="clear"/>
            <w:tcMar>
              <w:bottom w:w="28" w:type="dxa"/>
            </w:tcMar>
            <w:vAlign w:val="center"/>
          </w:tcPr>
          <w:p>
            <w:pPr>
              <w:pStyle w:val="TableContents"/>
              <w:bidi w:val="0"/>
              <w:spacing w:before="0" w:after="283"/>
              <w:jc w:val="right"/>
              <w:rPr/>
            </w:pPr>
            <w:r>
              <w:rPr/>
              <w:t>30,240</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1" w:type="dxa"/>
            <w:tcBorders>
              <w:bottom w:val="single" w:sz="8" w:space="0" w:color="000000"/>
            </w:tcBorders>
            <w:shd w:fill="CCEEFF" w:val="clear"/>
            <w:tcMar>
              <w:bottom w:w="28" w:type="dxa"/>
            </w:tcMar>
            <w:vAlign w:val="center"/>
          </w:tcPr>
          <w:p>
            <w:pPr>
              <w:pStyle w:val="TableContents"/>
              <w:bidi w:val="0"/>
              <w:spacing w:before="0" w:after="283"/>
              <w:jc w:val="right"/>
              <w:rPr/>
            </w:pPr>
            <w:r>
              <w:rPr/>
              <w:t>(95,337</w:t>
            </w:r>
          </w:p>
        </w:tc>
        <w:tc>
          <w:tcPr>
            <w:tcW w:w="115" w:type="dxa"/>
            <w:tcBorders/>
            <w:shd w:fill="CCEEFF" w:val="clear"/>
            <w:vAlign w:val="center"/>
          </w:tcPr>
          <w:p>
            <w:pPr>
              <w:pStyle w:val="TableContents"/>
              <w:bidi w:val="0"/>
              <w:spacing w:before="0" w:after="283"/>
              <w:jc w:val="left"/>
              <w:rPr/>
            </w:pPr>
            <w:r>
              <w:rPr/>
              <w:t>)</w:t>
            </w:r>
          </w:p>
        </w:tc>
      </w:tr>
      <w:tr>
        <w:trPr/>
        <w:tc>
          <w:tcPr>
            <w:tcW w:w="6408" w:type="dxa"/>
            <w:tcBorders/>
            <w:shd w:fill="FFFFFF" w:val="clear"/>
            <w:vAlign w:val="center"/>
          </w:tcPr>
          <w:p>
            <w:pPr>
              <w:pStyle w:val="TableContents"/>
              <w:bidi w:val="0"/>
              <w:spacing w:before="0" w:after="283"/>
              <w:jc w:val="left"/>
              <w:rPr>
                <w:b/>
              </w:rPr>
            </w:pPr>
            <w:r>
              <w:rPr>
                <w:b/>
              </w:rPr>
              <w:t>Net Loss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(9,794,375</w:t>
            </w:r>
          </w:p>
        </w:tc>
        <w:tc>
          <w:tcPr>
            <w:tcW w:w="139" w:type="dxa"/>
            <w:tcBorders/>
            <w:shd w:fill="FFFFFF" w:val="clear"/>
            <w:vAlign w:val="center"/>
          </w:tcPr>
          <w:p>
            <w:pPr>
              <w:pStyle w:val="TableContents"/>
              <w:bidi w:val="0"/>
              <w:spacing w:before="0" w:after="283"/>
              <w:jc w:val="left"/>
              <w:rPr>
                <w:b/>
              </w:rPr>
            </w:pPr>
            <w:r>
              <w:rPr>
                <w:b/>
              </w:rPr>
              <w:t>)</w:t>
            </w:r>
          </w:p>
        </w:tc>
        <w:tc>
          <w:tcPr>
            <w:tcW w:w="87"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(4,005,770</w:t>
            </w:r>
          </w:p>
        </w:tc>
        <w:tc>
          <w:tcPr>
            <w:tcW w:w="115" w:type="dxa"/>
            <w:tcBorders/>
            <w:shd w:fill="FFFFFF" w:val="clear"/>
            <w:vAlign w:val="center"/>
          </w:tcPr>
          <w:p>
            <w:pPr>
              <w:pStyle w:val="TableContents"/>
              <w:bidi w:val="0"/>
              <w:spacing w:before="0" w:after="283"/>
              <w:jc w:val="left"/>
              <w:rPr>
                <w:b/>
              </w:rPr>
            </w:pPr>
            <w:r>
              <w:rPr>
                <w:b/>
              </w:rPr>
              <w:t>)</w:t>
            </w:r>
          </w:p>
        </w:tc>
      </w:tr>
      <w:tr>
        <w:trPr/>
        <w:tc>
          <w:tcPr>
            <w:tcW w:w="6408" w:type="dxa"/>
            <w:tcBorders/>
            <w:shd w:fill="CCEEFF" w:val="clear"/>
            <w:vAlign w:val="center"/>
          </w:tcPr>
          <w:p>
            <w:pPr>
              <w:pStyle w:val="TableContents"/>
              <w:bidi w:val="0"/>
              <w:spacing w:before="0" w:after="283"/>
              <w:jc w:val="left"/>
              <w:rPr>
                <w:b/>
              </w:rPr>
            </w:pPr>
            <w:r>
              <w:rPr>
                <w:b/>
              </w:rPr>
              <w:t>Net loss per share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408"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pPr>
            <w:r>
              <w:rPr/>
              <w:t>(0.12</w:t>
            </w:r>
          </w:p>
        </w:tc>
        <w:tc>
          <w:tcPr>
            <w:tcW w:w="139"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pPr>
            <w:r>
              <w:rPr/>
              <w:t>(0.05</w:t>
            </w:r>
          </w:p>
        </w:tc>
        <w:tc>
          <w:tcPr>
            <w:tcW w:w="115" w:type="dxa"/>
            <w:tcBorders/>
            <w:shd w:fill="FFFFFF" w:val="clear"/>
            <w:vAlign w:val="center"/>
          </w:tcPr>
          <w:p>
            <w:pPr>
              <w:pStyle w:val="TableContents"/>
              <w:bidi w:val="0"/>
              <w:spacing w:before="0" w:after="283"/>
              <w:jc w:val="left"/>
              <w:rPr/>
            </w:pPr>
            <w:r>
              <w:rPr/>
              <w:t>)</w:t>
            </w:r>
          </w:p>
        </w:tc>
      </w:tr>
      <w:tr>
        <w:trPr/>
        <w:tc>
          <w:tcPr>
            <w:tcW w:w="6408" w:type="dxa"/>
            <w:tcBorders/>
            <w:shd w:fill="CCEEFF" w:val="clear"/>
            <w:vAlign w:val="center"/>
          </w:tcPr>
          <w:p>
            <w:pPr>
              <w:pStyle w:val="TableContents"/>
              <w:bidi w:val="0"/>
              <w:spacing w:before="0" w:after="283"/>
              <w:jc w:val="left"/>
              <w:rPr/>
            </w:pPr>
            <w:r>
              <w:rPr/>
              <w:t>Weighted-average number of shares used in computing net loss per share</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82,718,614</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74,290,986</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Roadzen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Condensed Consolidated Statements of Cash Flow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US $, except share count)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60"/>
        <w:gridCol w:w="60"/>
        <w:gridCol w:w="71"/>
        <w:gridCol w:w="1272"/>
        <w:gridCol w:w="114"/>
        <w:gridCol w:w="71"/>
        <w:gridCol w:w="71"/>
        <w:gridCol w:w="1272"/>
        <w:gridCol w:w="114"/>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Period ended June 30,</w:t>
            </w:r>
          </w:p>
        </w:tc>
        <w:tc>
          <w:tcPr>
            <w:tcW w:w="114"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center"/>
              <w:rPr>
                <w:b/>
              </w:rPr>
            </w:pPr>
            <w:r>
              <w:rPr>
                <w:b/>
              </w:rPr>
              <w:t>Particulars</w:t>
            </w:r>
          </w:p>
        </w:tc>
        <w:tc>
          <w:tcPr>
            <w:tcW w:w="60" w:type="dxa"/>
            <w:tcBorders/>
            <w:vAlign w:val="center"/>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b/>
              </w:rPr>
            </w:pPr>
            <w:r>
              <w:rPr>
                <w:b/>
              </w:rPr>
              <w:t>Net Loss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b/>
              </w:rPr>
            </w:pPr>
            <w:r>
              <w:rPr>
                <w:b/>
              </w:rPr>
              <w:t>(9,794,375</w:t>
            </w:r>
          </w:p>
        </w:tc>
        <w:tc>
          <w:tcPr>
            <w:tcW w:w="114" w:type="dxa"/>
            <w:tcBorders/>
            <w:shd w:fill="FFFFFF" w:val="clear"/>
            <w:vAlign w:val="center"/>
          </w:tcPr>
          <w:p>
            <w:pPr>
              <w:pStyle w:val="TableContents"/>
              <w:bidi w:val="0"/>
              <w:spacing w:before="0" w:after="283"/>
              <w:jc w:val="left"/>
              <w:rPr>
                <w:b/>
              </w:rPr>
            </w:pPr>
            <w:r>
              <w:rPr>
                <w:b/>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b/>
              </w:rPr>
            </w:pPr>
            <w:r>
              <w:rPr>
                <w:b/>
              </w:rPr>
              <w:t>(4,005,770</w:t>
            </w:r>
          </w:p>
        </w:tc>
        <w:tc>
          <w:tcPr>
            <w:tcW w:w="114" w:type="dxa"/>
            <w:tcBorders/>
            <w:shd w:fill="FFFFFF" w:val="clear"/>
            <w:vAlign w:val="center"/>
          </w:tcPr>
          <w:p>
            <w:pPr>
              <w:pStyle w:val="TableContents"/>
              <w:bidi w:val="0"/>
              <w:spacing w:before="0" w:after="283"/>
              <w:jc w:val="left"/>
              <w:rPr>
                <w:b/>
              </w:rPr>
            </w:pPr>
            <w:r>
              <w:rPr>
                <w:b/>
              </w:rPr>
              <w:t>)</w:t>
            </w:r>
          </w:p>
        </w:tc>
      </w:tr>
      <w:tr>
        <w:trPr/>
        <w:tc>
          <w:tcPr>
            <w:tcW w:w="716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729,516</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125,000</w:t>
            </w:r>
          </w:p>
        </w:tc>
        <w:tc>
          <w:tcPr>
            <w:tcW w:w="114"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75,376</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71,358</w:t>
            </w:r>
          </w:p>
        </w:tc>
        <w:tc>
          <w:tcPr>
            <w:tcW w:w="114"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(16,118</w:t>
            </w:r>
          </w:p>
        </w:tc>
        <w:tc>
          <w:tcPr>
            <w:tcW w:w="114"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(1,289</w:t>
            </w:r>
          </w:p>
        </w:tc>
        <w:tc>
          <w:tcPr>
            <w:tcW w:w="114"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Unrealised foreign exchange loss/(profit)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109,427</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(9,456</w:t>
            </w:r>
          </w:p>
        </w:tc>
        <w:tc>
          <w:tcPr>
            <w:tcW w:w="114"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Expenses settled through issuance of equity equity shares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812,288</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Fair value losses/(profits) in financial instruments carried at fair value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7,210,865</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511,538</w:t>
            </w:r>
          </w:p>
        </w:tc>
        <w:tc>
          <w:tcPr>
            <w:tcW w:w="114"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Expected credit loss (net of reversal)</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(1,540,122</w:t>
            </w:r>
          </w:p>
        </w:tc>
        <w:tc>
          <w:tcPr>
            <w:tcW w:w="114"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198,749</w:t>
            </w:r>
          </w:p>
        </w:tc>
        <w:tc>
          <w:tcPr>
            <w:tcW w:w="114"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Balances written off/(back)</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(1,793,721</w:t>
            </w:r>
          </w:p>
        </w:tc>
        <w:tc>
          <w:tcPr>
            <w:tcW w:w="114"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Net total loss attributable to non-controlling interest, net of tax</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30,240</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(95,337</w:t>
            </w:r>
          </w:p>
        </w:tc>
        <w:tc>
          <w:tcPr>
            <w:tcW w:w="114"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b/>
              </w:rPr>
            </w:pPr>
            <w:r>
              <w:rPr>
                <w:b/>
              </w:rPr>
              <w:t>Changes in assets and liabilities, net of assets acquired and liabilities assumed from acquisitions: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(72,073</w:t>
            </w:r>
          </w:p>
        </w:tc>
        <w:tc>
          <w:tcPr>
            <w:tcW w:w="114"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103,415</w:t>
            </w:r>
          </w:p>
        </w:tc>
        <w:tc>
          <w:tcPr>
            <w:tcW w:w="114"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Accounts receivables, net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159,750</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(147,930</w:t>
            </w:r>
          </w:p>
        </w:tc>
        <w:tc>
          <w:tcPr>
            <w:tcW w:w="114"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Prepayments and other assets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(2,082,810</w:t>
            </w:r>
          </w:p>
        </w:tc>
        <w:tc>
          <w:tcPr>
            <w:tcW w:w="114"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(2,071,466</w:t>
            </w:r>
          </w:p>
        </w:tc>
        <w:tc>
          <w:tcPr>
            <w:tcW w:w="114"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245,637</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2,323,205</w:t>
            </w:r>
          </w:p>
        </w:tc>
        <w:tc>
          <w:tcPr>
            <w:tcW w:w="114"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pPr>
            <w:r>
              <w:rPr/>
              <w:t>452,958</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pPr>
            <w:r>
              <w:rPr/>
              <w:t>76,478</w:t>
            </w:r>
          </w:p>
        </w:tc>
        <w:tc>
          <w:tcPr>
            <w:tcW w:w="114"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(5,473,162</w:t>
            </w:r>
          </w:p>
        </w:tc>
        <w:tc>
          <w:tcPr>
            <w:tcW w:w="114" w:type="dxa"/>
            <w:tcBorders/>
            <w:shd w:fill="CCEEFF" w:val="clear"/>
            <w:vAlign w:val="center"/>
          </w:tcPr>
          <w:p>
            <w:pPr>
              <w:pStyle w:val="TableContents"/>
              <w:bidi w:val="0"/>
              <w:spacing w:before="0" w:after="283"/>
              <w:jc w:val="left"/>
              <w:rPr>
                <w:b/>
              </w:rPr>
            </w:pPr>
            <w:r>
              <w:rPr>
                <w:b/>
              </w:rPr>
              <w:t>)</w:t>
            </w:r>
          </w:p>
        </w:tc>
        <w:tc>
          <w:tcPr>
            <w:tcW w:w="71"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(2,921,507</w:t>
            </w:r>
          </w:p>
        </w:tc>
        <w:tc>
          <w:tcPr>
            <w:tcW w:w="114" w:type="dxa"/>
            <w:tcBorders/>
            <w:shd w:fill="CCEEFF" w:val="clear"/>
            <w:vAlign w:val="center"/>
          </w:tcPr>
          <w:p>
            <w:pPr>
              <w:pStyle w:val="TableContents"/>
              <w:bidi w:val="0"/>
              <w:spacing w:before="0" w:after="283"/>
              <w:jc w:val="left"/>
              <w:rPr>
                <w:b/>
              </w:rPr>
            </w:pPr>
            <w:r>
              <w:rPr>
                <w:b/>
              </w:rPr>
              <w:t>)</w:t>
            </w:r>
          </w:p>
        </w:tc>
      </w:tr>
      <w:tr>
        <w:trPr/>
        <w:tc>
          <w:tcPr>
            <w:tcW w:w="716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Purchase of property and equipment &amp; intangible assets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(464,491</w:t>
            </w:r>
          </w:p>
        </w:tc>
        <w:tc>
          <w:tcPr>
            <w:tcW w:w="114"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(274,056</w:t>
            </w:r>
          </w:p>
        </w:tc>
        <w:tc>
          <w:tcPr>
            <w:tcW w:w="114"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Consideration paid for business acquired in prior year</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(925,000</w:t>
            </w:r>
          </w:p>
        </w:tc>
        <w:tc>
          <w:tcPr>
            <w:tcW w:w="114"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Investment in mutual funds and bonds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(1,515</w:t>
            </w:r>
          </w:p>
        </w:tc>
        <w:tc>
          <w:tcPr>
            <w:tcW w:w="114"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Proceeds from sale of mutual fund</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pPr>
            <w:r>
              <w:rPr/>
              <w:t>73,116</w:t>
            </w:r>
          </w:p>
        </w:tc>
        <w:tc>
          <w:tcPr>
            <w:tcW w:w="114"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(1,391,006</w:t>
            </w:r>
          </w:p>
        </w:tc>
        <w:tc>
          <w:tcPr>
            <w:tcW w:w="114" w:type="dxa"/>
            <w:tcBorders/>
            <w:shd w:fill="CCEEFF" w:val="clear"/>
            <w:vAlign w:val="center"/>
          </w:tcPr>
          <w:p>
            <w:pPr>
              <w:pStyle w:val="TableContents"/>
              <w:bidi w:val="0"/>
              <w:spacing w:before="0" w:after="283"/>
              <w:jc w:val="left"/>
              <w:rPr>
                <w:b/>
              </w:rPr>
            </w:pPr>
            <w:r>
              <w:rPr>
                <w:b/>
              </w:rPr>
              <w:t>)</w:t>
            </w:r>
          </w:p>
        </w:tc>
        <w:tc>
          <w:tcPr>
            <w:tcW w:w="71"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(200,940</w:t>
            </w:r>
          </w:p>
        </w:tc>
        <w:tc>
          <w:tcPr>
            <w:tcW w:w="114" w:type="dxa"/>
            <w:tcBorders/>
            <w:shd w:fill="CCEEFF" w:val="clear"/>
            <w:vAlign w:val="center"/>
          </w:tcPr>
          <w:p>
            <w:pPr>
              <w:pStyle w:val="TableContents"/>
              <w:bidi w:val="0"/>
              <w:spacing w:before="0" w:after="283"/>
              <w:jc w:val="left"/>
              <w:rPr>
                <w:b/>
              </w:rPr>
            </w:pPr>
            <w:r>
              <w:rPr>
                <w:b/>
              </w:rPr>
              <w:t>)</w:t>
            </w:r>
          </w:p>
        </w:tc>
      </w:tr>
      <w:tr>
        <w:trPr/>
        <w:tc>
          <w:tcPr>
            <w:tcW w:w="716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Proceeds from issue of ordinary shares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7,460,000</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1,386,959</w:t>
            </w:r>
          </w:p>
        </w:tc>
        <w:tc>
          <w:tcPr>
            <w:tcW w:w="114"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Net proceeds/(payments) from borrowings</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pPr>
            <w:r>
              <w:rPr/>
              <w:t>(1,175,305</w:t>
            </w:r>
          </w:p>
        </w:tc>
        <w:tc>
          <w:tcPr>
            <w:tcW w:w="114"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pPr>
            <w:r>
              <w:rPr/>
              <w:t>49,990</w:t>
            </w:r>
          </w:p>
        </w:tc>
        <w:tc>
          <w:tcPr>
            <w:tcW w:w="114"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Net cash generated from financing activities</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6,284,695</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1,436,949</w:t>
            </w:r>
          </w:p>
        </w:tc>
        <w:tc>
          <w:tcPr>
            <w:tcW w:w="114"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pPr>
            <w:r>
              <w:rPr/>
              <w:t>(24,586</w:t>
            </w:r>
          </w:p>
        </w:tc>
        <w:tc>
          <w:tcPr>
            <w:tcW w:w="114"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b/>
              </w:rPr>
            </w:pPr>
            <w:r>
              <w:rPr>
                <w:b/>
              </w:rPr>
              <w:t>Net (decrease)/increase in cash and cash equivalents (including restricted cash)</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b/>
              </w:rPr>
            </w:pPr>
            <w:r>
              <w:rPr>
                <w:b/>
              </w:rPr>
              <w:t>(579,473</w:t>
            </w:r>
          </w:p>
        </w:tc>
        <w:tc>
          <w:tcPr>
            <w:tcW w:w="114" w:type="dxa"/>
            <w:tcBorders/>
            <w:shd w:fill="CCEEFF" w:val="clear"/>
            <w:vAlign w:val="center"/>
          </w:tcPr>
          <w:p>
            <w:pPr>
              <w:pStyle w:val="TableContents"/>
              <w:bidi w:val="0"/>
              <w:spacing w:before="0" w:after="283"/>
              <w:jc w:val="left"/>
              <w:rPr>
                <w:b/>
              </w:rPr>
            </w:pPr>
            <w:r>
              <w:rPr>
                <w:b/>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b/>
              </w:rPr>
            </w:pPr>
            <w:r>
              <w:rPr>
                <w:b/>
              </w:rPr>
              <w:t>(1,710,084</w:t>
            </w:r>
          </w:p>
        </w:tc>
        <w:tc>
          <w:tcPr>
            <w:tcW w:w="114" w:type="dxa"/>
            <w:tcBorders/>
            <w:shd w:fill="CCEEFF" w:val="clear"/>
            <w:vAlign w:val="center"/>
          </w:tcPr>
          <w:p>
            <w:pPr>
              <w:pStyle w:val="TableContents"/>
              <w:bidi w:val="0"/>
              <w:spacing w:before="0" w:after="283"/>
              <w:jc w:val="left"/>
              <w:rPr>
                <w:b/>
              </w:rPr>
            </w:pPr>
            <w:r>
              <w:rPr>
                <w:b/>
              </w:rPr>
              <w:t>)</w:t>
            </w:r>
          </w:p>
        </w:tc>
      </w:tr>
      <w:tr>
        <w:trPr/>
        <w:tc>
          <w:tcPr>
            <w:tcW w:w="7160" w:type="dxa"/>
            <w:tcBorders/>
            <w:shd w:fill="FFFFFF" w:val="clear"/>
            <w:vAlign w:val="center"/>
          </w:tcPr>
          <w:p>
            <w:pPr>
              <w:pStyle w:val="TableContents"/>
              <w:bidi w:val="0"/>
              <w:spacing w:before="0" w:after="283"/>
              <w:jc w:val="left"/>
              <w:rPr/>
            </w:pPr>
            <w:r>
              <w:rPr/>
              <w:t>Cash and cash equivalents at the beginning of the period (including restricted cash)</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pPr>
            <w:r>
              <w:rPr/>
              <w:t>6,800,620</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pPr>
            <w:r>
              <w:rPr/>
              <w:t>5,053,654</w:t>
            </w:r>
          </w:p>
        </w:tc>
        <w:tc>
          <w:tcPr>
            <w:tcW w:w="114"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Cash and cash equivalents at the end of the period (including restricted cash)</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6,221,147</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3,343,570</w:t>
            </w:r>
          </w:p>
        </w:tc>
        <w:tc>
          <w:tcPr>
            <w:tcW w:w="114"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Reconciliation of cash and cash equivalents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6,004,085</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3,124,856</w:t>
            </w:r>
          </w:p>
        </w:tc>
        <w:tc>
          <w:tcPr>
            <w:tcW w:w="114"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CCEEFF" w:val="clear"/>
            <w:tcMar>
              <w:bottom w:w="28" w:type="dxa"/>
            </w:tcMar>
            <w:vAlign w:val="center"/>
          </w:tcPr>
          <w:p>
            <w:pPr>
              <w:pStyle w:val="TableContents"/>
              <w:bidi w:val="0"/>
              <w:spacing w:before="0" w:after="283"/>
              <w:jc w:val="right"/>
              <w:rPr/>
            </w:pPr>
            <w:r>
              <w:rPr/>
              <w:t>217,062</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CCEEFF" w:val="clear"/>
            <w:tcMar>
              <w:bottom w:w="28" w:type="dxa"/>
            </w:tcMar>
            <w:vAlign w:val="center"/>
          </w:tcPr>
          <w:p>
            <w:pPr>
              <w:pStyle w:val="TableContents"/>
              <w:bidi w:val="0"/>
              <w:spacing w:before="0" w:after="283"/>
              <w:jc w:val="right"/>
              <w:rPr/>
            </w:pPr>
            <w:r>
              <w:rPr/>
              <w:t>218,714</w:t>
            </w:r>
          </w:p>
        </w:tc>
        <w:tc>
          <w:tcPr>
            <w:tcW w:w="114"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b/>
              </w:rPr>
            </w:pPr>
            <w:r>
              <w:rPr>
                <w:b/>
              </w:rPr>
              <w:t>Total cash and cash equivalents</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6,221,147</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3,343,570</w:t>
            </w:r>
          </w:p>
        </w:tc>
        <w:tc>
          <w:tcPr>
            <w:tcW w:w="114"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Cash paid for interest, net of amounts capitalized</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1,821,711</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1,001,397</w:t>
            </w:r>
          </w:p>
        </w:tc>
        <w:tc>
          <w:tcPr>
            <w:tcW w:w="114"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b/>
              </w:rPr>
            </w:pPr>
            <w:r>
              <w:rPr>
                <w:b/>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Consideration payable in connection with acquisitions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1,074,070</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8,376,253</w:t>
            </w:r>
          </w:p>
        </w:tc>
        <w:tc>
          <w:tcPr>
            <w:tcW w:w="114"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Interest accrued on borrowings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4,941,475</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2,089,465</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Adjusted Earnings Before Interest, Tax, Depreciation and Amortization (Adjusted EBITDA), a non-GAAP financial measure which excludes the impact of finance costs, taxes, depreciation and amortization and certain other items from reported net profit or loss. We believe that Adjusted EBITDA aids investors by providing an operating profit/loss without the impact of non-cash depreciation and amortization and certain other items to help clarify sustainability and trends affecting the business. For comparability of reporting, management considers non-GAAP measures in conjunction with U.S. GAAP financial results in evaluating business performance. Adjusted EBITDA should not be considered a substitute for, or superior to, the measures of financial performance prepared in accordance with U.S. GAAP. In addition, Adjusted EBITDA does not purport to represent cash flow provided by, or used for, operating activities in accordance with GAAP and should not be used as a measure of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our net loss reported in accordance with GAAP to Adjusted EBITDA for the three months and year ended June 30, 2026 and June 30, 2025</w:t>
      </w:r>
    </w:p>
    <w:p>
      <w:pPr>
        <w:pStyle w:val="TextBody"/>
        <w:bidi w:val="0"/>
        <w:spacing w:before="0" w:after="0"/>
        <w:ind w:left="0" w:right="0" w:hanging="0"/>
        <w:jc w:val="center"/>
        <w:rPr>
          <w:caps w:val="false"/>
          <w:smallCaps w:val="false"/>
        </w:rPr>
      </w:pPr>
      <w:r>
        <w:rPr>
          <w:caps w:val="false"/>
          <w:smallCaps w:val="false"/>
        </w:rPr>
        <w:t> </w:t>
      </w:r>
    </w:p>
    <w:tbl>
      <w:tblPr>
        <w:tblW w:w="9253" w:type="dxa"/>
        <w:jc w:val="left"/>
        <w:tblInd w:w="0" w:type="dxa"/>
        <w:tblLayout w:type="fixed"/>
        <w:tblCellMar>
          <w:top w:w="0" w:type="dxa"/>
          <w:left w:w="0" w:type="dxa"/>
          <w:bottom w:w="0" w:type="dxa"/>
          <w:right w:w="0" w:type="dxa"/>
        </w:tblCellMar>
      </w:tblPr>
      <w:tblGrid>
        <w:gridCol w:w="5330"/>
        <w:gridCol w:w="60"/>
        <w:gridCol w:w="94"/>
        <w:gridCol w:w="1661"/>
        <w:gridCol w:w="149"/>
        <w:gridCol w:w="94"/>
        <w:gridCol w:w="94"/>
        <w:gridCol w:w="1661"/>
        <w:gridCol w:w="110"/>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110" w:type="dxa"/>
            <w:tcBorders/>
            <w:vAlign w:val="center"/>
          </w:tcPr>
          <w:p>
            <w:pPr>
              <w:pStyle w:val="TableContents"/>
              <w:bidi w:val="0"/>
              <w:spacing w:before="0" w:after="283"/>
              <w:jc w:val="left"/>
              <w:rPr/>
            </w:pPr>
            <w:r>
              <w:rPr/>
              <w:t> </w:t>
            </w:r>
          </w:p>
        </w:tc>
      </w:tr>
      <w:tr>
        <w:trPr/>
        <w:tc>
          <w:tcPr>
            <w:tcW w:w="5330"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283"/>
              <w:jc w:val="right"/>
              <w:rPr>
                <w:b/>
              </w:rPr>
            </w:pPr>
            <w:r>
              <w:rPr>
                <w:b/>
              </w:rPr>
              <w:t>(9,794,374</w:t>
            </w:r>
          </w:p>
        </w:tc>
        <w:tc>
          <w:tcPr>
            <w:tcW w:w="149" w:type="dxa"/>
            <w:tcBorders/>
            <w:shd w:fill="CCEEFF" w:val="clear"/>
            <w:vAlign w:val="center"/>
          </w:tcPr>
          <w:p>
            <w:pPr>
              <w:pStyle w:val="TableContents"/>
              <w:bidi w:val="0"/>
              <w:spacing w:before="0" w:after="283"/>
              <w:jc w:val="left"/>
              <w:rPr>
                <w:b/>
              </w:rPr>
            </w:pPr>
            <w:r>
              <w:rPr>
                <w:b/>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283"/>
              <w:jc w:val="right"/>
              <w:rPr>
                <w:b/>
              </w:rPr>
            </w:pPr>
            <w:r>
              <w:rPr>
                <w:b/>
              </w:rPr>
              <w:t>(4,005,770</w:t>
            </w:r>
          </w:p>
        </w:tc>
        <w:tc>
          <w:tcPr>
            <w:tcW w:w="110" w:type="dxa"/>
            <w:tcBorders/>
            <w:shd w:fill="CCEEFF" w:val="clear"/>
            <w:vAlign w:val="center"/>
          </w:tcPr>
          <w:p>
            <w:pPr>
              <w:pStyle w:val="TableContents"/>
              <w:bidi w:val="0"/>
              <w:spacing w:before="0" w:after="283"/>
              <w:jc w:val="left"/>
              <w:rPr>
                <w:b/>
              </w:rPr>
            </w:pPr>
            <w:r>
              <w:rPr>
                <w:b/>
              </w:rPr>
              <w:t>)</w:t>
            </w:r>
          </w:p>
        </w:tc>
      </w:tr>
      <w:tr>
        <w:trPr/>
        <w:tc>
          <w:tcPr>
            <w:tcW w:w="5330" w:type="dxa"/>
            <w:tcBorders/>
            <w:shd w:fill="FFFFFF" w:val="clear"/>
            <w:vAlign w:val="center"/>
          </w:tcPr>
          <w:p>
            <w:pPr>
              <w:pStyle w:val="TableContents"/>
              <w:bidi w:val="0"/>
              <w:spacing w:before="0" w:after="283"/>
              <w:jc w:val="left"/>
              <w:rPr/>
            </w:pPr>
            <w:r>
              <w:rPr/>
              <w:t>Adjusted for:</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661"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66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Other (income)/expense net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283"/>
              <w:jc w:val="right"/>
              <w:rPr/>
            </w:pPr>
            <w:r>
              <w:rPr/>
              <w:t>(1,837,757</w:t>
            </w:r>
          </w:p>
        </w:tc>
        <w:tc>
          <w:tcPr>
            <w:tcW w:w="14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283"/>
              <w:jc w:val="right"/>
              <w:rPr/>
            </w:pPr>
            <w:r>
              <w:rPr/>
              <w:t>47,922</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Interest (income)/expense</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661" w:type="dxa"/>
            <w:tcBorders/>
            <w:shd w:fill="FFFFFF" w:val="clear"/>
            <w:vAlign w:val="center"/>
          </w:tcPr>
          <w:p>
            <w:pPr>
              <w:pStyle w:val="TableContents"/>
              <w:bidi w:val="0"/>
              <w:spacing w:before="0" w:after="283"/>
              <w:jc w:val="right"/>
              <w:rPr/>
            </w:pPr>
            <w:r>
              <w:rPr/>
              <w:t>2,854,699</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661" w:type="dxa"/>
            <w:tcBorders/>
            <w:shd w:fill="FFFFFF" w:val="clear"/>
            <w:vAlign w:val="center"/>
          </w:tcPr>
          <w:p>
            <w:pPr>
              <w:pStyle w:val="TableContents"/>
              <w:bidi w:val="0"/>
              <w:spacing w:before="0" w:after="283"/>
              <w:jc w:val="right"/>
              <w:rPr/>
            </w:pPr>
            <w:r>
              <w:rPr/>
              <w:t>941,319</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changes in financial instruments carried at fair value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283"/>
              <w:jc w:val="right"/>
              <w:rPr/>
            </w:pPr>
            <w:r>
              <w:rPr/>
              <w:t>7,210,865</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283"/>
              <w:jc w:val="right"/>
              <w:rPr/>
            </w:pPr>
            <w:r>
              <w:rPr/>
              <w:t>511,538</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Tax (benefit)/expense</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661" w:type="dxa"/>
            <w:tcBorders/>
            <w:shd w:fill="FFFFFF" w:val="clear"/>
            <w:vAlign w:val="center"/>
          </w:tcPr>
          <w:p>
            <w:pPr>
              <w:pStyle w:val="TableContents"/>
              <w:bidi w:val="0"/>
              <w:spacing w:before="0" w:after="283"/>
              <w:jc w:val="right"/>
              <w:rPr/>
            </w:pPr>
            <w:r>
              <w:rPr/>
              <w:t>(6,620</w:t>
            </w:r>
          </w:p>
        </w:tc>
        <w:tc>
          <w:tcPr>
            <w:tcW w:w="149"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661" w:type="dxa"/>
            <w:tcBorders/>
            <w:shd w:fill="FFFFFF" w:val="clear"/>
            <w:vAlign w:val="center"/>
          </w:tcPr>
          <w:p>
            <w:pPr>
              <w:pStyle w:val="TableContents"/>
              <w:bidi w:val="0"/>
              <w:spacing w:before="0" w:after="283"/>
              <w:jc w:val="right"/>
              <w:rPr/>
            </w:pPr>
            <w:r>
              <w:rPr/>
              <w:t>79,979</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283"/>
              <w:jc w:val="right"/>
              <w:rPr/>
            </w:pPr>
            <w:r>
              <w:rPr/>
              <w:t>729,516</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283"/>
              <w:jc w:val="right"/>
              <w:rPr/>
            </w:pPr>
            <w:r>
              <w:rPr/>
              <w:t>125,000</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Stock based compensation expense</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661" w:type="dxa"/>
            <w:tcBorders/>
            <w:shd w:fill="FFFFFF" w:val="clear"/>
            <w:vAlign w:val="center"/>
          </w:tcPr>
          <w:p>
            <w:pPr>
              <w:pStyle w:val="TableContents"/>
              <w:bidi w:val="0"/>
              <w:spacing w:before="0" w:after="283"/>
              <w:jc w:val="right"/>
              <w:rPr/>
            </w:pPr>
            <w:r>
              <w:rPr/>
              <w:t>159,127</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661" w:type="dxa"/>
            <w:tcBorders/>
            <w:shd w:fill="FFFFFF" w:val="clear"/>
            <w:vAlign w:val="center"/>
          </w:tcPr>
          <w:p>
            <w:pPr>
              <w:pStyle w:val="TableContents"/>
              <w:bidi w:val="0"/>
              <w:spacing w:before="0" w:after="283"/>
              <w:jc w:val="right"/>
              <w:rPr/>
            </w:pPr>
            <w:r>
              <w:rPr/>
              <w:t>71,358</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Non-cash expenses</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283"/>
              <w:jc w:val="right"/>
              <w:rPr/>
            </w:pPr>
            <w:r>
              <w:rPr/>
              <w:t>(757,368</w:t>
            </w:r>
          </w:p>
        </w:tc>
        <w:tc>
          <w:tcPr>
            <w:tcW w:w="14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283"/>
              <w:jc w:val="right"/>
              <w:rPr/>
            </w:pPr>
            <w:r>
              <w:rPr/>
              <w:t>306,714</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Non-recurring expenses</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61" w:type="dxa"/>
            <w:tcBorders>
              <w:bottom w:val="single" w:sz="8" w:space="0" w:color="000000"/>
            </w:tcBorders>
            <w:shd w:fill="FFFFFF" w:val="clear"/>
            <w:tcMar>
              <w:bottom w:w="28" w:type="dxa"/>
            </w:tcMar>
            <w:vAlign w:val="center"/>
          </w:tcPr>
          <w:p>
            <w:pPr>
              <w:pStyle w:val="TableContents"/>
              <w:bidi w:val="0"/>
              <w:spacing w:before="0" w:after="283"/>
              <w:jc w:val="right"/>
              <w:rPr/>
            </w:pPr>
            <w:r>
              <w:rPr/>
              <w:t>1,067,802</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61" w:type="dxa"/>
            <w:tcBorders>
              <w:bottom w:val="single" w:sz="8" w:space="0" w:color="000000"/>
            </w:tcBorders>
            <w:shd w:fill="FFFFFF" w:val="clear"/>
            <w:tcMar>
              <w:bottom w:w="28" w:type="dxa"/>
            </w:tcMar>
            <w:vAlign w:val="center"/>
          </w:tcPr>
          <w:p>
            <w:pPr>
              <w:pStyle w:val="TableContents"/>
              <w:bidi w:val="0"/>
              <w:spacing w:before="0" w:after="283"/>
              <w:jc w:val="right"/>
              <w:rPr/>
            </w:pPr>
            <w:r>
              <w:rPr/>
              <w:t>516,102</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(374,111</w:t>
            </w:r>
          </w:p>
        </w:tc>
        <w:tc>
          <w:tcPr>
            <w:tcW w:w="149" w:type="dxa"/>
            <w:tcBorders/>
            <w:shd w:fill="CCEEFF" w:val="clear"/>
            <w:vAlign w:val="center"/>
          </w:tcPr>
          <w:p>
            <w:pPr>
              <w:pStyle w:val="TableContents"/>
              <w:bidi w:val="0"/>
              <w:spacing w:before="0" w:after="283"/>
              <w:jc w:val="left"/>
              <w:rPr>
                <w:b/>
              </w:rPr>
            </w:pPr>
            <w:r>
              <w:rPr>
                <w:b/>
              </w:rPr>
              <w:t>)</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(1,405,838</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Fair value changes in financial instruments are considered to be financing costs as they relate to convertible notes and the Forward Purchase Agreement. These changes are non-cash as these changes in fair value are affected by the volatility of the Company’s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Roadzen Inc., please visit https://roadzen.ai/</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4092</Words>
  <Characters>24393</Characters>
  <CharactersWithSpaces>28881</CharactersWithSpaces>
  <Paragraphs>1461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