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32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111 Anza Blvd Suite 109</w:t>
            </w:r>
          </w:p>
        </w:tc>
        <w:tc>
          <w:tcPr>
            <w:tcW w:w="3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Burlingame, California</w:t>
            </w:r>
          </w:p>
        </w:tc>
        <w:tc>
          <w:tcPr>
            <w:tcW w:w="320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39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RDZN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On May 22, 2026, Roadzen Inc. (the “Company”) entered into a Third Amendment to Securities Purchase Agreement and Junior Convertible Notes (the “Third Amendment”), which amended certain of the terms of (i) that certain Securities Purchase Agreement, dated as of November 20, 2025 (the “SPA”), entered into between the Company and an institutional investor (the “Investor”), (ii) the junior convertible note issued to the Investor on November 21, 2025 (as previously amended, the “November Note”) pursuant to the terms of the SPA, each as described in the Current Report on Form 8-K filed by the Company on November 20, 2025, and (iii) that certain junior convertible note issued to the Investor on January 20, 2026 (the “January Note”), as described in the Current Report on Form 8-K filed by the Company on January 20, 2026. Certain terms of the November Note and the SPA were previously amended pursuant to a Second Amendment to Securities Purchase Agreement and Junior Convertible Note entered into between the Company and the Investor on February 25, 2026, as described in the Current Report on Form 8-K filed by the Company on February 26, 2026. Among other things, the Third Amendment amends the November Note to (i) change the dates on which the “Installment Amounts” otherwise due under the November Note on April 21, 2026 and May 21, 2026 are due to July 20, 2026, (ii) add a provision that would adjust the “Conversion Price” of the November Note in the event of certain equity financings below the Conversion Price then in effect, equivalent to the provision in the January Note and (iii) remove the provision that required the Company to use up to 25% of the net proceeds of “Subsequent Placements” to redeem all or a portion of the November Note. The Third Amendment also</w:t>
      </w:r>
    </w:p>
    <w:p>
      <w:pPr>
        <w:spacing w:after="0" w:line="1" w:lineRule="exact"/>
        <w:rPr>
          <w:sz w:val="20"/>
          <w:szCs w:val="20"/>
          <w:color w:val="auto"/>
        </w:rPr>
      </w:pPr>
    </w:p>
    <w:p>
      <w:pPr>
        <w:jc w:val="both"/>
        <w:ind w:firstLine="8"/>
        <w:spacing w:after="0" w:line="253"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date on which the “Installment Amount” otherwise due under the January Note on May 20, 2026 is due to July 20, 2026, and (ii) extends the termination date of the Investor’s right to participate in certain financings by the Company to December 20, 2027. Also pursuant to the Third Amendment, the Company is required to use commercially reasonable efforts to obtain the approval, for purposes of Nasdaq Listing Rules, of its shareholders to issue a number of the Company’s ordinary shares upon conversion of the November Note and the January Note in excess of 20% of the total number of ordinary shares outstanding as of November 20, 2025.</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terms and conditions of the Third Amendment do not purport to be complete and are qualified in their entireties by the full text of Second Amendment, which is filed as exhibit 10.1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5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5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Third Amendment to Securities Purchase Agreement and Junior Convertible Notes, dated May 22, 2026.</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75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Rohan Malhotra</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Rohan Malhotra</w:t>
            </w: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SECURITIES PURCHASE AGREEMENT AND JUNIOR CONVERTIBLE NOTES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THIRD AMENDMENT TO SECURITIES PURCHASE AGREEMENT AND JUNIOR CONVERTIBLE NOTES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dated as of May 22, 2026, and is entered into by and among Roadzen Inc., a BVI business company limited by shares incorporated with limited liability in the British Virgin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_______________________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The Company and the Purchaser are hereinafter sometimes collectively referred to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 are party to (i) that certain Securities Purchase Agreement dated November 20,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on January 20, 2026 and February 25, 2026, the “</w:t>
      </w:r>
      <w:r>
        <w:rPr>
          <w:rFonts w:ascii="Times New Roman" w:cs="Times New Roman" w:eastAsia="Times New Roman" w:hAnsi="Times New Roman"/>
          <w:sz w:val="18"/>
          <w:szCs w:val="18"/>
          <w:b w:val="1"/>
          <w:bCs w:val="1"/>
          <w:i w:val="1"/>
          <w:iCs w:val="1"/>
          <w:color w:val="auto"/>
        </w:rPr>
        <w:t>November SPA</w:t>
      </w:r>
      <w:r>
        <w:rPr>
          <w:rFonts w:ascii="Times New Roman" w:cs="Times New Roman" w:eastAsia="Times New Roman" w:hAnsi="Times New Roman"/>
          <w:sz w:val="18"/>
          <w:szCs w:val="18"/>
          <w:color w:val="auto"/>
        </w:rPr>
        <w:t>”), and (ii) that certain Junior Convertible Note issued by the Company to the Purchaser pursuant to the November SPA, dated November 21, 2025, in the original principal amount of $5,555,555 (as amended on January 20, 2026,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 are party to that certain Securities Purchase Agreement, dated January 19,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January SPA</w:t>
      </w:r>
      <w:r>
        <w:rPr>
          <w:rFonts w:ascii="Times New Roman" w:cs="Times New Roman" w:eastAsia="Times New Roman" w:hAnsi="Times New Roman"/>
          <w:sz w:val="18"/>
          <w:szCs w:val="18"/>
          <w:color w:val="auto"/>
        </w:rPr>
        <w:t>”), pursuant to which the Company issued to the Purchaser that certain Junior Convertible Note, dated January 20, 2026, in the original principal amount of $5,555,555 (the “</w:t>
      </w:r>
      <w:r>
        <w:rPr>
          <w:rFonts w:ascii="Times New Roman" w:cs="Times New Roman" w:eastAsia="Times New Roman" w:hAnsi="Times New Roman"/>
          <w:sz w:val="18"/>
          <w:szCs w:val="18"/>
          <w:b w:val="1"/>
          <w:bCs w:val="1"/>
          <w:i w:val="1"/>
          <w:iCs w:val="1"/>
          <w:color w:val="auto"/>
        </w:rPr>
        <w:t>January Note</w:t>
      </w:r>
      <w:r>
        <w:rPr>
          <w:rFonts w:ascii="Times New Roman" w:cs="Times New Roman" w:eastAsia="Times New Roman" w:hAnsi="Times New Roman"/>
          <w:sz w:val="18"/>
          <w:szCs w:val="18"/>
          <w:color w:val="auto"/>
        </w:rPr>
        <w:t>” and together with the November Note, the “Notes”);</w:t>
      </w:r>
    </w:p>
    <w:p>
      <w:pPr>
        <w:spacing w:after="0" w:line="17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January Note includes dilutive issuance protection in Section 14, and the Parties desire to add substantially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dilutive issuance protection to the November Note;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November Note includes a Holder Optional Redemption provision in Section 8(f), and the Parties desire to remove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 desire to amend certain terms and conditions of the November SPA, November Note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January Note as provided herein;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conditions and agreements set forth in this Amendment,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hereby agree as follows:</w:t>
      </w:r>
    </w:p>
    <w:p>
      <w:pPr>
        <w:spacing w:after="0" w:line="155" w:lineRule="exact"/>
        <w:rPr>
          <w:sz w:val="20"/>
          <w:szCs w:val="20"/>
          <w:color w:val="auto"/>
        </w:rPr>
      </w:pPr>
    </w:p>
    <w:p>
      <w:pPr>
        <w:ind w:firstLine="656"/>
        <w:spacing w:after="0" w:line="286"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in this Amendment but not otherwise defined herein have the meanings given such terms in the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 the November Note, the January SPA or the January Note, as applicable.</w:t>
      </w:r>
    </w:p>
    <w:p>
      <w:pPr>
        <w:spacing w:after="0" w:line="15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Agreements regarding the November Note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Installment Amount otherwise due and payable on April 21, 2026, and the Installment Amount due and payable on May 21, 2026, in each case, under the November Note are both hereby deferred until July 20, 2026. On July 20, 2026, the Company shall pay to the Holder, in cash, the aggregate amount of such deferred Installment Amounts, together with any accrued and unpaid Interest and Make-Whole Amount included therein, and July 20, 2026, shall be deemed to be an Installment Date solely for purposes of the payment of such deferred Installment Amounts. Each such deferred Installment Amount shall continue to accrue Interest under the November Note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1304"/>
        <w:spacing w:after="0" w:line="253" w:lineRule="auto"/>
        <w:tabs>
          <w:tab w:leader="none" w:pos="15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of the November Note is hereby amended and restated in its entirety as follows: “14. DILUTIVE ISSUANCES. If, at any time after May 22, 2026 while this Note remains outstanding, the Company or any Subsidiary, as applicable, sells or grants any option to purchase or sells or grants any right to reprice, or otherwise disposes of or issues (or announces any sale, grant or any option to purchase or other disposition), any Ordinary Shares or Ordinary Share Equivalents entitling any Person to acquire shares of Ordinary Shares at an effective price per share that is lower than the then Conversion Price (such lower price, the ‘Base Conversion Price’ and such issuances, collectively, a ‘Dilutive Issuance’), other than (i) Excluded Securities and (ii) certain warrants to purchase an aggregate of 200,000 Ordinary Shares at an exercise price of $2.70 per Ordinary Share, pursuant to an agreement entered into prior to January 16, 2026, then the Holder shall be entitled to convert a portion of this Note equal to the aggregate consideration paid or that could be payable (without regard to any limitations on the exercise or conversion of any Ordinary Share Equivalents issued in such Dilutive Issuance) to the Company in such Dilutive Issuance at the Base Conversion Price. Conversions under this Section 14 shall be effected in accordance with Section 3 of this Note, but replacing each reference to ‘Conversion Price’ with Base Conversion Price.”</w:t>
      </w:r>
    </w:p>
    <w:p>
      <w:pPr>
        <w:spacing w:after="0" w:line="19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8(f) of the November Note is hereby amended and restated in its entirety as follows: “(f) Reserved.”</w:t>
      </w:r>
    </w:p>
    <w:p>
      <w:pPr>
        <w:spacing w:after="0" w:line="22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Agreements regarding the January Note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January Note, including Section 1, Section 8(e) and Section 31(r) thereof, the Installment Amount otherwise due and payable on May 20, 2026 is hereby deferred until July 20, 2026. On July 20, 2026, the Company shall pay to the Holder, in cash, such deferred Installment Amount, together with any accrued and unpaid Interest and Make-Whole Amount included therein, and July 20, 2026 shall be deemed to be an Installment Date solely for purposes of the payment of such deferred Installment Amount. Such deferred Installment Amount shall continue to accrue Interest under the January Note until paid in full.</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November SPA Participation Right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4(aa)(viii) of the November SPA is hereby amended and restated in its entirety as follows: “viii. Termination. The Participation Right shall terminate on December 20, 2027, except that the provisions of Section 4(aa)(vii) shall survive with respect to any Subsequent Financing consummated prior to December 20, 2027, in accordance with its terms.” For the avoidance of doubt, the Participation Right shall continue to survive any repayment, redemption or conversion of the January Note prior to such termination date and may be transferred by the Holder together with the January Note, but not separately therefrom, without the consent of any other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effectiveness of this Amendment is subject to the prior or concurrent consummation of each of the following</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Each Party shall have delivered an executed counterpart of its signature page to this Amendment;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After giving effect to this Amendment and the transactions contemplated hereby, no Event of Default shall have occurred and be continuing; and</w:t>
      </w:r>
    </w:p>
    <w:p>
      <w:pPr>
        <w:spacing w:after="0" w:line="157"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Shareholder Approval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covenants to use commercially reasonable efforts to obtain the approval of its stockholders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Approval”) for the issuance of Ordinary Shares issuable upon conversion of the Notes without violating the continued listing rules of the Nasdaq Stock Market, including Nasdaq Listing Rule 5635. The Company shall hold a meeting of its stockholders to obtain the Stockholder Approval (the “</w:t>
      </w:r>
      <w:r>
        <w:rPr>
          <w:rFonts w:ascii="Times New Roman" w:cs="Times New Roman" w:eastAsia="Times New Roman" w:hAnsi="Times New Roman"/>
          <w:sz w:val="18"/>
          <w:szCs w:val="18"/>
          <w:b w:val="1"/>
          <w:bCs w:val="1"/>
          <w:i w:val="1"/>
          <w:iCs w:val="1"/>
          <w:color w:val="auto"/>
        </w:rPr>
        <w:t>Stockholder Meeting</w:t>
      </w:r>
      <w:r>
        <w:rPr>
          <w:rFonts w:ascii="Times New Roman" w:cs="Times New Roman" w:eastAsia="Times New Roman" w:hAnsi="Times New Roman"/>
          <w:sz w:val="18"/>
          <w:szCs w:val="18"/>
          <w:color w:val="auto"/>
        </w:rPr>
        <w:t>”) no later than the earlier of (a) the date of the Company’s next annual general meeting or extraordinary general meeting of stockholders and (b) the date that is 60 days after the date on which the number of Ordinary Shares issuable upon conversion of the Notes (calculated by dividing the aggregate Conversion Amount of the Notes by the then-prevailing Conversion Price) first exceeds 20% of the total number of Ordinary Shares outstanding as of November 20, 2025. The Company shall use its commercially reasonable efforts to solicit its stockholders’ approval of such resolutions and to cause the Board of Directors of the Company to recommend to the stockholders that they approve such resolutions. If, despite the Company’s commercially reasonable efforts, the Stockholder Approval is not obtained at the initial Stockholder Meeting, the Company shall cause additional Stockholder Meetings to be held once every three months until such Stockholder Approval is obtained.</w:t>
      </w:r>
    </w:p>
    <w:p>
      <w:pPr>
        <w:spacing w:after="0" w:line="18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Affirmations</w:t>
      </w:r>
      <w:r>
        <w:rPr>
          <w:rFonts w:ascii="Times New Roman" w:cs="Times New Roman" w:eastAsia="Times New Roman" w:hAnsi="Times New Roman"/>
          <w:sz w:val="18"/>
          <w:szCs w:val="18"/>
          <w:color w:val="auto"/>
        </w:rPr>
        <w:t>. The Company acknowledges and agrees:</w:t>
      </w:r>
    </w:p>
    <w:p>
      <w:pPr>
        <w:spacing w:after="0" w:line="229" w:lineRule="exact"/>
        <w:rPr>
          <w:rFonts w:ascii="Times New Roman" w:cs="Times New Roman" w:eastAsia="Times New Roman" w:hAnsi="Times New Roman"/>
          <w:sz w:val="18"/>
          <w:szCs w:val="18"/>
          <w:color w:val="auto"/>
        </w:rPr>
      </w:pPr>
    </w:p>
    <w:p>
      <w:pPr>
        <w:ind w:right="20" w:firstLine="1304"/>
        <w:spacing w:after="0" w:line="282" w:lineRule="auto"/>
        <w:tabs>
          <w:tab w:leader="none" w:pos="156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the November SPA, the January SPA and the other applicable Transaction Documents are legal, valid, binding and enforceable against the Company in accordance with their respective terms;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under the Notes, the November SPA, the January SPA and the other Transaction Documents are not subject to any setoff, deduction, claim, counterclaim or defenses of any kind or character whatsoever;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fully and timely performed all of its obligations and duties in compliance with the Transaction Documents and applicable law, and has acted reasonably, in good faith and appropriately under the circumstances;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set forth herein do not constitute, and shall not be deemed to constitute, a waiver of any Event of Default or any other default, breach, right, remedy, power or privilege under the Notes, the November SPA, the January SPA, or any other applicable Transaction Document, except solely to the extent expressly set forth herein.</w:t>
      </w:r>
    </w:p>
    <w:p>
      <w:pPr>
        <w:spacing w:after="0" w:line="171" w:lineRule="exact"/>
        <w:rPr>
          <w:rFonts w:ascii="Times New Roman" w:cs="Times New Roman" w:eastAsia="Times New Roman" w:hAnsi="Times New Roman"/>
          <w:sz w:val="18"/>
          <w:szCs w:val="18"/>
          <w:color w:val="auto"/>
        </w:rPr>
      </w:pPr>
    </w:p>
    <w:p>
      <w:pPr>
        <w:ind w:firstLine="656"/>
        <w:spacing w:after="0" w:line="286" w:lineRule="auto"/>
        <w:tabs>
          <w:tab w:leader="none" w:pos="8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illegality or unenforceability of any provision of this Amendment shall not in any way affect or impair the 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of this Amendment.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ind w:firstLine="656"/>
        <w:spacing w:after="0" w:line="262"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reference to the Notes contained in any notice, request, certificate, or other document executed concurrently with 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Amendment shall be deemed to include this Amendment unless the context shall otherwise require. Reference in any of this Amendment, the Notes or any other Transaction Document to the Notes shall be a reference to the Notes as amended hereby and as further amended, modified, restated, supplemented or extended from time to time.</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and by the different parties hereto on separate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such counterpart shall be deemed to be an original, but all such counterparts shall together constitute but one and the same agreement. Receipt by telecopy of any executed signature page to this Amendment shall constitute effective delivery of such signature page. This Amendment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 No party hereto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captions used in this Amendment are for convenience only and shall not affect the construction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7" w:lineRule="auto"/>
        <w:tabs>
          <w:tab w:leader="none" w:pos="9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provisions set forth in this Amendment shall modify and supersede all inconsistent terms and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the November SPA and shall not be deemed to be a consent to the modification or waiver of any other term or condition of the Notes, the November SPA, the January SPA or any other applicable Transaction Document. Except as expressly modified and superseded by this Amendment, the terms and provisions of the Notes, the November SPA, the January SPA and the other applicable Transaction Documents are ratified and confirmed and shall continue in full force and effect. This Amendment constitutes the entire agreement, and supersedes all prior understandings and agreements, among the parties relating to the subject matter hereof.</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9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AND THE RIGHTS AND OBLIGATIONS OF THE PARTIES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AND INTERPRETED IN ACCORDANCE WITH, THE LAW OF THE STATE OF NEW YORK WITHOUT REGARD TO CONFLICT OF LAWS PRINCIPLES THAT WOULD RESULT IN THE APPLICATION OF ANY LAW OTHER THAN THE LAW OF THE STATE OF NEW YORK.</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Disclosure/8-K obligation</w:t>
      </w:r>
      <w:r>
        <w:rPr>
          <w:rFonts w:ascii="Times New Roman" w:cs="Times New Roman" w:eastAsia="Times New Roman" w:hAnsi="Times New Roman"/>
          <w:sz w:val="18"/>
          <w:szCs w:val="18"/>
          <w:color w:val="auto"/>
        </w:rPr>
        <w:t>. The Company will disclose the material terms of this Amendment and the transactions contemplated hereby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Report on Form 8-K, and attaching this Amendment as an exhibit thereto, by not later than 8:30 a.m. on the Trading Day immediately following the execution of this Amendment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Upon the filing of such Form 8-K, the Company represents to the Holder that it shall have publicly disclosed all “material, non-public information” delivered to the Holder by the Company or any of its Subsidiaries, or any of their respective officers, directors, employees or agents.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duly authorized officers on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ROADZEN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Jean-Noel Gallardo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Jean-Noel Gallardo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Securities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Agreement and Notes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6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2"/>
    </w:lvl>
  </w:abstractNum>
  <w:abstractNum w:abstractNumId="4">
    <w:nsid w:val="507ED7AB"/>
    <w:multiLevelType w:val="hybridMultilevel"/>
    <w:lvl w:ilvl="0">
      <w:lvlJc w:val="left"/>
      <w:lvlText w:val="%1."/>
      <w:numFmt w:val="decimal"/>
      <w:start w:val="3"/>
    </w:lvl>
    <w:lvl w:ilvl="1">
      <w:lvlJc w:val="left"/>
      <w:lvlText w:val="(%2)"/>
      <w:numFmt w:val="lowerLetter"/>
      <w:start w:val="1"/>
    </w:lvl>
  </w:abstractNum>
  <w:abstractNum w:abstractNumId="5">
    <w:nsid w:val="2EB141F2"/>
    <w:multiLevelType w:val="hybridMultilevel"/>
    <w:lvl w:ilvl="0">
      <w:lvlJc w:val="left"/>
      <w:lvlText w:val="%1."/>
      <w:numFmt w:val="decimal"/>
      <w:start w:val="5"/>
    </w:lvl>
    <w:lvl w:ilvl="1">
      <w:lvlJc w:val="left"/>
      <w:lvlText w:val="(%2)"/>
      <w:numFmt w:val="lowerLetter"/>
      <w:start w:val="1"/>
    </w:lvl>
  </w:abstractNum>
  <w:abstractNum w:abstractNumId="6">
    <w:nsid w:val="41B71EF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2026-05-22T16:27:35Z</dcterms:created>
  <dcterms:modified xsi:type="dcterms:W3CDTF">2026-05-22T16:27:35Z</dcterms:modified>
</cp:coreProperties>
</file>