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914__20"/>
      <w:bookmarkEnd w:id="2"/>
      <w:r>
        <w:rPr>
          <w:rFonts w:ascii="Times New Roman;Times;Serif" w:hAnsi="Times New Roman;Times;Serif"/>
          <w:b/>
          <w:i w:val="false"/>
          <w:caps w:val="false"/>
          <w:smallCaps w:val="false"/>
          <w:sz w:val="36"/>
        </w:rPr>
        <w:t>8-K </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September 14, 2026</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7_edei--EntityRegistrantName_c2026"/>
      <w:bookmarkEnd w:id="4"/>
      <w:r>
        <w:rPr>
          <w:rFonts w:ascii="Times New Roman;Times;Serif" w:hAnsi="Times New Roman;Times;Serif"/>
          <w:b/>
          <w:i w:val="false"/>
          <w:caps w:val="false"/>
          <w:smallCaps w:val="false"/>
          <w:sz w:val="36"/>
        </w:rPr>
        <w:t>ROADZEN INC.</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pBdr/>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pBdr/>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9_edei--EntityIncorporationStateCo"/>
            <w:bookmarkEnd w:id="5"/>
            <w:r>
              <w:rPr>
                <w:rFonts w:ascii="Times New Roman;Times;Serif" w:hAnsi="Times New Roman;Times;Serif"/>
                <w:b/>
                <w:i w:val="false"/>
                <w:caps w:val="false"/>
                <w:smallCaps w:val="false"/>
                <w:sz w:val="20"/>
              </w:rPr>
              <w:t>British Virgin Islands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5_edei--EntityFileNumber_c20260914"/>
            <w:bookmarkEnd w:id="6"/>
            <w:r>
              <w:rPr>
                <w:rFonts w:ascii="Times New Roman;Times;Serif" w:hAnsi="Times New Roman;Times;Serif"/>
                <w:b/>
                <w:i w:val="false"/>
                <w:caps w:val="false"/>
                <w:smallCaps w:val="false"/>
                <w:sz w:val="20"/>
              </w:rPr>
              <w:t>001-41094</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98-1600102</w:t>
            </w:r>
          </w:p>
        </w:tc>
      </w:tr>
      <w:tr>
        <w:trPr/>
        <w:tc>
          <w:tcPr>
            <w:tcW w:w="2360"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pBdr/>
        <w:bidi w:val="0"/>
        <w:spacing w:before="0" w:after="0"/>
        <w:ind w:left="0" w:right="0" w:hanging="0"/>
        <w:jc w:val="left"/>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111 Anza Blvd</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bookmarkStart w:id="9" w:name="xdx_909_edei--EntityAddressAddressLine2_"/>
            <w:bookmarkEnd w:id="9"/>
            <w:r>
              <w:rPr>
                <w:rFonts w:ascii="Times New Roman;Times;Serif" w:hAnsi="Times New Roman;Times;Serif"/>
                <w:b/>
                <w:i w:val="false"/>
                <w:caps w:val="false"/>
                <w:smallCaps w:val="false"/>
                <w:sz w:val="20"/>
              </w:rPr>
              <w:t>Suite 109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0" w:name="xdx_903_edei--EntityAddressCityOrTown_c2"/>
            <w:bookmarkEnd w:id="10"/>
            <w:r>
              <w:rPr>
                <w:rFonts w:ascii="Times New Roman;Times;Serif" w:hAnsi="Times New Roman;Times;Serif"/>
                <w:b/>
                <w:i w:val="false"/>
                <w:caps w:val="false"/>
                <w:smallCaps w:val="false"/>
                <w:sz w:val="20"/>
              </w:rPr>
              <w:t xml:space="preserve">Burlingame, </w:t>
            </w:r>
            <w:bookmarkStart w:id="11" w:name="xdx_903_edei--EntityAddressStateOrProvin"/>
            <w:bookmarkEnd w:id="11"/>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7_edei--EntityAddressPostalZipCode"/>
            <w:bookmarkEnd w:id="12"/>
            <w:r>
              <w:rPr>
                <w:rFonts w:ascii="Times New Roman;Times;Serif" w:hAnsi="Times New Roman;Times;Serif"/>
                <w:b/>
                <w:i w:val="false"/>
                <w:caps w:val="false"/>
                <w:smallCaps w:val="false"/>
                <w:sz w:val="20"/>
              </w:rPr>
              <w:t>94010</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w:t>
      </w:r>
      <w:r>
        <w:rPr>
          <w:rFonts w:ascii="Times New Roman;Times;Serif" w:hAnsi="Times New Roman;Times;Serif"/>
          <w:b w:val="false"/>
          <w:i w:val="false"/>
          <w:caps w:val="false"/>
          <w:smallCaps w:val="false"/>
          <w:sz w:val="20"/>
        </w:rPr>
        <w:t xml:space="preserve"> </w:t>
      </w:r>
      <w:bookmarkStart w:id="13" w:name="xdx_901_edei--CityAreaCode_c20260914__20"/>
      <w:bookmarkEnd w:id="13"/>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347)</w:t>
      </w:r>
      <w:r>
        <w:rPr>
          <w:rFonts w:ascii="Times New Roman;Times;Serif" w:hAnsi="Times New Roman;Times;Serif"/>
          <w:b w:val="false"/>
          <w:i w:val="false"/>
          <w:caps w:val="false"/>
          <w:smallCaps w:val="false"/>
          <w:sz w:val="20"/>
        </w:rPr>
        <w:t xml:space="preserve"> </w:t>
      </w:r>
      <w:bookmarkStart w:id="14" w:name="xdx_906_edei--LocalPhoneNumber_c20260914"/>
      <w:bookmarkEnd w:id="14"/>
      <w:r>
        <w:rPr>
          <w:rFonts w:ascii="Times New Roman;Times;Serif" w:hAnsi="Times New Roman;Times;Serif"/>
          <w:b w:val="false"/>
          <w:i w:val="false"/>
          <w:caps w:val="false"/>
          <w:smallCaps w:val="false"/>
          <w:sz w:val="20"/>
        </w:rPr>
        <w:t>745-6448</w:t>
      </w:r>
    </w:p>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5" w:name="xdx_90E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A_edei--SolicitingMaterial_c202609"/>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9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sz w:val="4"/>
                <w:szCs w:val="4"/>
              </w:rPr>
            </w:pPr>
            <w:r>
              <w:rPr>
                <w:sz w:val="4"/>
                <w:szCs w:val="4"/>
              </w:rPr>
            </w:r>
          </w:p>
        </w:tc>
        <w:tc>
          <w:tcPr>
            <w:tcW w:w="9065"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283"/>
              <w:jc w:val="both"/>
              <w:rPr>
                <w:caps w:val="false"/>
                <w:smallCaps w:val="false"/>
              </w:rPr>
            </w:pPr>
            <w:bookmarkStart w:id="18" w:name="xdx_901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46"/>
        <w:gridCol w:w="60"/>
        <w:gridCol w:w="1327"/>
        <w:gridCol w:w="60"/>
        <w:gridCol w:w="2812"/>
      </w:tblGrid>
      <w:tr>
        <w:trPr/>
        <w:tc>
          <w:tcPr>
            <w:tcW w:w="59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Trading Symbol(s</w:t>
            </w: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br/>
              <w:t>Name of each exchange on which registered</w:t>
            </w:r>
          </w:p>
        </w:tc>
      </w:tr>
      <w:tr>
        <w:trPr/>
        <w:tc>
          <w:tcPr>
            <w:tcW w:w="59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E_edei--Security12bTitle_c20260914"/>
            <w:bookmarkEnd w:id="19"/>
            <w:r>
              <w:rPr>
                <w:rFonts w:ascii="Times New Roman;Times;Serif" w:hAnsi="Times New Roman;Times;Serif"/>
                <w:b w:val="false"/>
                <w:i w:val="false"/>
                <w:caps w:val="false"/>
                <w:smallCaps w:val="false"/>
                <w:sz w:val="20"/>
              </w:rPr>
              <w:t>Ordinary Shares,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914__2"/>
            <w:bookmarkEnd w:id="20"/>
            <w:r>
              <w:rPr>
                <w:rFonts w:ascii="Times New Roman;Times;Serif" w:hAnsi="Times New Roman;Times;Serif"/>
                <w:b w:val="false"/>
                <w:i w:val="false"/>
                <w:caps w:val="false"/>
                <w:smallCaps w:val="false"/>
                <w:sz w:val="20"/>
              </w:rPr>
              <w:t>RDZN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A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59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A_edei--Security12bTitle_c20260914"/>
            <w:bookmarkEnd w:id="22"/>
            <w:r>
              <w:rPr>
                <w:rFonts w:ascii="Times New Roman;Times;Serif" w:hAnsi="Times New Roman;Times;Serif"/>
                <w:b w:val="false"/>
                <w:i w:val="false"/>
                <w:caps w:val="false"/>
                <w:smallCaps w:val="false"/>
                <w:sz w:val="20"/>
              </w:rPr>
              <w:t>Warrants, each warrant exercisable for one ordinary share, each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5_edei--TradingSymbol_c20260914__2"/>
            <w:bookmarkEnd w:id="23"/>
            <w:r>
              <w:rPr>
                <w:rFonts w:ascii="Times New Roman;Times;Serif" w:hAnsi="Times New Roman;Times;Serif"/>
                <w:b w:val="false"/>
                <w:i w:val="false"/>
                <w:caps w:val="false"/>
                <w:smallCaps w:val="false"/>
                <w:sz w:val="20"/>
              </w:rPr>
              <w:t>RDZNW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8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9_edei--EntityExTransitionPeriod_c"/>
      <w:bookmarkEnd w:id="26"/>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September 14, 2026, Roadzen Inc. (the “Company”) entered into separate amendments (the “RSU Amendments”) to the restricted stock unit awards (as previously amended, the “RSUs”) previously granted to Rohan Malhotra, the Company’s Chief Executive Officer and a director, Jean-Noël Gallardo, the Company’s Chief Financial Officer, and Ankur Kamboj, the Company’s Chief Operating Officer, as well as certain other employees of the Company. Pursuant to the RSU Amendments, the 5,616,550 RSUs previously granted by the Company to Mr. Malhotra and the 1,250,007 RSUs previously granted by the Company to Mr. Kamboj were each amended to change the date on which such RSUs vest in full (subject to the executive’s continuous service with the Company through the vesting date) from September 17, 2026 to September 17, 2027, and the 115,000 RSUs previously granted by the Company to Mr. Gallardo were amended to change the date on which such RSUs vest in full (subject to the executive’s continuous service with the Company through the vesting date) from November 20, 2026 to November 20, 2027.</w:t>
      </w:r>
    </w:p>
    <w:p>
      <w:pPr>
        <w:pStyle w:val="TextBody"/>
        <w:pBdr/>
        <w:bidi w:val="0"/>
        <w:spacing w:before="0" w:after="0"/>
        <w:ind w:left="0" w:right="0" w:firstLine="360"/>
        <w:jc w:val="both"/>
        <w:rPr>
          <w:caps w:val="false"/>
          <w:smallCaps w:val="false"/>
        </w:rPr>
      </w:pPr>
      <w:r>
        <w:rPr>
          <w:caps w:val="false"/>
          <w:smallCaps w:val="false"/>
        </w:rPr>
        <w:t> </w:t>
      </w:r>
    </w:p>
    <w:p>
      <w:pPr>
        <w:pStyle w:val="TextBody"/>
        <w:pBd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RSU Amendments does not purport to be complete and is qualified in its entirety by reference to the full text of the RSU Amendments, the form of which is filed as Exhibit 10.1 to this Current Report on Form 8-K and incorporated herein by reference.</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Exhibit </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w:anchor="ex10-3.htm">
              <w:r>
                <w:rPr>
                  <w:rStyle w:val="InternetLink"/>
                  <w:rFonts w:ascii="Times New Roman;Times;Serif" w:hAnsi="Times New Roman;Times;Serif"/>
                  <w:b w:val="false"/>
                  <w:i w:val="false"/>
                  <w:caps w:val="false"/>
                  <w:smallCaps w:val="false"/>
                  <w:sz w:val="20"/>
                </w:rPr>
                <w:t>Form of Second Amendment to Restricted Stock Unit Award Grant Notice and Restricted Stock Unit Award Agreement.</w:t>
              </w:r>
            </w:hyperlink>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135"/>
        <w:gridCol w:w="545"/>
        <w:gridCol w:w="1910"/>
      </w:tblGrid>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4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Jean-Noël Gallardo</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Jean-Noël Gallardo</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right"/>
        <w:rPr>
          <w:caps w:val="false"/>
          <w:smallCaps w:val="false"/>
        </w:rPr>
      </w:pPr>
      <w:bookmarkStart w:id="27" w:name="ex10-3.htm"/>
      <w:bookmarkStart w:id="28" w:name="ksex103"/>
      <w:bookmarkEnd w:id="27"/>
      <w:bookmarkEnd w:id="28"/>
      <w:r>
        <w:rPr>
          <w:caps w:val="false"/>
          <w:smallCaps w:val="false"/>
        </w:rPr>
        <w:t> </w:t>
      </w:r>
      <w:r>
        <w:br w:type="page"/>
      </w:r>
    </w:p>
    <w:p>
      <w:pPr>
        <w:pStyle w:val="TextBody"/>
        <w:pBd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10.3</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AMENDMENT TO THE</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STOCK UNIT AWARD GRANT NOTICE AND RESTRICTED STOCK UNIT AWARD AGREEMENT</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AMENDMENT (the “</w:t>
      </w:r>
      <w:r>
        <w:rPr>
          <w:rFonts w:ascii="Times New Roman;Times;Serif" w:hAnsi="Times New Roman;Times;Serif"/>
          <w:b/>
          <w:i w:val="false"/>
          <w:caps w:val="false"/>
          <w:smallCaps w:val="false"/>
          <w:sz w:val="20"/>
          <w:u w:val="single"/>
        </w:rPr>
        <w:t>Amendment</w:t>
      </w:r>
      <w:r>
        <w:rPr>
          <w:rFonts w:ascii="Times New Roman;Times;Serif" w:hAnsi="Times New Roman;Times;Serif"/>
          <w:b w:val="false"/>
          <w:i w:val="false"/>
          <w:caps w:val="false"/>
          <w:smallCaps w:val="false"/>
          <w:sz w:val="20"/>
        </w:rPr>
        <w:t>”) to that certain Restricted Stock Unit Award Grant Notice and Restricted Stock Unit Award Agreement, dated ________ (collectively, the “</w:t>
      </w:r>
      <w:r>
        <w:rPr>
          <w:rFonts w:ascii="Times New Roman;Times;Serif" w:hAnsi="Times New Roman;Times;Serif"/>
          <w:b/>
          <w:i w:val="false"/>
          <w:caps w:val="false"/>
          <w:smallCaps w:val="false"/>
          <w:sz w:val="20"/>
          <w:u w:val="single"/>
        </w:rPr>
        <w:t>RSU Agreement</w:t>
      </w:r>
      <w:r>
        <w:rPr>
          <w:rFonts w:ascii="Times New Roman;Times;Serif" w:hAnsi="Times New Roman;Times;Serif"/>
          <w:b w:val="false"/>
          <w:i w:val="false"/>
          <w:caps w:val="false"/>
          <w:smallCaps w:val="false"/>
          <w:sz w:val="20"/>
        </w:rPr>
        <w:t>”), is made effective as of September 14, 2026 (the “</w:t>
      </w:r>
      <w:r>
        <w:rPr>
          <w:rFonts w:ascii="Times New Roman;Times;Serif" w:hAnsi="Times New Roman;Times;Serif"/>
          <w:b/>
          <w:i w:val="false"/>
          <w:caps w:val="false"/>
          <w:smallCaps w:val="false"/>
          <w:sz w:val="20"/>
          <w:u w:val="single"/>
        </w:rPr>
        <w:t>Effective Date</w:t>
      </w:r>
      <w:r>
        <w:rPr>
          <w:rFonts w:ascii="Times New Roman;Times;Serif" w:hAnsi="Times New Roman;Times;Serif"/>
          <w:b w:val="false"/>
          <w:i w:val="false"/>
          <w:caps w:val="false"/>
          <w:smallCaps w:val="false"/>
          <w:sz w:val="20"/>
        </w:rPr>
        <w:t>”), by and between Roadzen Inc., a British Virgin Islands Business company (“</w:t>
      </w:r>
      <w:r>
        <w:rPr>
          <w:rFonts w:ascii="Times New Roman;Times;Serif" w:hAnsi="Times New Roman;Times;Serif"/>
          <w:b/>
          <w:i w:val="false"/>
          <w:caps w:val="false"/>
          <w:smallCaps w:val="false"/>
          <w:sz w:val="20"/>
          <w:u w:val="single"/>
        </w:rPr>
        <w:t>Roadzen BVI</w:t>
      </w:r>
      <w:r>
        <w:rPr>
          <w:rFonts w:ascii="Times New Roman;Times;Serif" w:hAnsi="Times New Roman;Times;Serif"/>
          <w:b w:val="false"/>
          <w:i w:val="false"/>
          <w:caps w:val="false"/>
          <w:smallCaps w:val="false"/>
          <w:sz w:val="20"/>
        </w:rPr>
        <w:t>” or the “</w:t>
      </w:r>
      <w:r>
        <w:rPr>
          <w:rFonts w:ascii="Times New Roman;Times;Serif" w:hAnsi="Times New Roman;Times;Serif"/>
          <w:b/>
          <w:i w:val="false"/>
          <w:caps w:val="false"/>
          <w:smallCaps w:val="false"/>
          <w:sz w:val="20"/>
          <w:u w:val="single"/>
        </w:rPr>
        <w:t>Company</w:t>
      </w:r>
      <w:r>
        <w:rPr>
          <w:rFonts w:ascii="Times New Roman;Times;Serif" w:hAnsi="Times New Roman;Times;Serif"/>
          <w:b w:val="false"/>
          <w:i w:val="false"/>
          <w:caps w:val="false"/>
          <w:smallCaps w:val="false"/>
          <w:sz w:val="20"/>
        </w:rPr>
        <w:t>”), as successor in interest to Roadzen, Inc., a Delaware corporation (“</w:t>
      </w:r>
      <w:r>
        <w:rPr>
          <w:rFonts w:ascii="Times New Roman;Times;Serif" w:hAnsi="Times New Roman;Times;Serif"/>
          <w:b/>
          <w:i w:val="false"/>
          <w:caps w:val="false"/>
          <w:smallCaps w:val="false"/>
          <w:sz w:val="20"/>
          <w:u w:val="single"/>
        </w:rPr>
        <w:t>Roadzen (DE)</w:t>
      </w:r>
      <w:r>
        <w:rPr>
          <w:rFonts w:ascii="Times New Roman;Times;Serif" w:hAnsi="Times New Roman;Times;Serif"/>
          <w:b w:val="false"/>
          <w:i w:val="false"/>
          <w:caps w:val="false"/>
          <w:smallCaps w:val="false"/>
          <w:sz w:val="20"/>
        </w:rPr>
        <w:t>”) and ______________ (“</w:t>
      </w:r>
      <w:r>
        <w:rPr>
          <w:rFonts w:ascii="Times New Roman;Times;Serif" w:hAnsi="Times New Roman;Times;Serif"/>
          <w:b/>
          <w:i w:val="false"/>
          <w:caps w:val="false"/>
          <w:smallCaps w:val="false"/>
          <w:sz w:val="20"/>
          <w:u w:val="single"/>
        </w:rPr>
        <w:t>Recipient</w:t>
      </w:r>
      <w:r>
        <w:rPr>
          <w:rFonts w:ascii="Times New Roman;Times;Serif" w:hAnsi="Times New Roman;Times;Serif"/>
          <w:b/>
          <w:i w:val="false"/>
          <w:caps w:val="false"/>
          <w:smallCaps w:val="false"/>
          <w:sz w:val="20"/>
        </w:rPr>
        <w:t>” and together with the Company the “</w:t>
      </w:r>
      <w:r>
        <w:rPr>
          <w:rFonts w:ascii="Times New Roman;Times;Serif" w:hAnsi="Times New Roman;Times;Serif"/>
          <w:b/>
          <w:i w:val="false"/>
          <w:caps w:val="false"/>
          <w:smallCaps w:val="false"/>
          <w:sz w:val="20"/>
          <w:u w:val="single"/>
        </w:rPr>
        <w:t>Parties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u w:val="single"/>
        </w:rPr>
        <w:t>W I T N E S S E T H</w:t>
      </w:r>
      <w:r>
        <w:rPr>
          <w:rFonts w:ascii="Times New Roman;Times;Serif" w:hAnsi="Times New Roman;Times;Serif"/>
          <w:b/>
          <w:i w:val="false"/>
          <w:caps/>
          <w:sz w:val="20"/>
        </w:rPr>
        <w:t>:</w:t>
      </w:r>
    </w:p>
    <w:p>
      <w:pPr>
        <w:pStyle w:val="TextBody"/>
        <w:pBdr/>
        <w:bidi w:val="0"/>
        <w:spacing w:before="0" w:after="0"/>
        <w:ind w:left="0" w:right="0" w:hanging="0"/>
        <w:jc w:val="center"/>
        <w:rPr>
          <w:caps/>
        </w:rPr>
      </w:pPr>
      <w:r>
        <w:rPr>
          <w:caps/>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Roadzen (DE) and Recipient entered into that certain RSU Agreement whereby Roadzen (DE) granted Recipient ____________ Restricted Stock Units in Roadzen (DE) which was thereafter converted into ___________ Restricted Stock Units in Roadzen BVI (the “</w:t>
      </w:r>
      <w:r>
        <w:rPr>
          <w:rFonts w:ascii="Times New Roman;Times;Serif" w:hAnsi="Times New Roman;Times;Serif"/>
          <w:b/>
          <w:i w:val="false"/>
          <w:caps w:val="false"/>
          <w:smallCaps w:val="false"/>
          <w:sz w:val="20"/>
          <w:u w:val="single"/>
        </w:rPr>
        <w:t>RSUs</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RSUs were granted pursuant to the terms, provisions and conditions set forth in the RSU Agreement and that certain Roadzen, Inc. 2023 Equity Incentive Plan and thereafter assumed under the Roadzen Inc. 2023 Omnibus Incentive Plan, as amended from time to time and/or assumed (the “</w:t>
      </w:r>
      <w:r>
        <w:rPr>
          <w:rFonts w:ascii="Times New Roman;Times;Serif" w:hAnsi="Times New Roman;Times;Serif"/>
          <w:b/>
          <w:i w:val="false"/>
          <w:caps w:val="false"/>
          <w:smallCaps w:val="false"/>
          <w:sz w:val="20"/>
          <w:u w:val="single"/>
        </w:rPr>
        <w:t>Plan</w:t>
      </w:r>
      <w:r>
        <w:rPr>
          <w:rFonts w:ascii="Times New Roman;Times;Serif" w:hAnsi="Times New Roman;Times;Serif"/>
          <w:b w:val="false"/>
          <w:i w:val="false"/>
          <w:caps w:val="false"/>
          <w:smallCaps w:val="false"/>
          <w:sz w:val="20"/>
        </w:rPr>
        <w: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previously entered into a First Amendment to the RSU Agreement on September 13, 2024 (the “First Amendment”);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subsequently entered into a Second Amendment to the RSU Agreement on July 23, 2025 (the “Second Amendment”); and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ongoing efforts to restructure and recapitalize the Company, and in consideration for the continuation of Recipient’s employment with the Company, the Recipient and the Company each believe it to be in their best interests, and have each agreed to further amend the RSU Agreement, as previously amended by the First Amendment, and subsequently amended by the Second Amendment, to provide for additional vesting restrictions on such RSUs, on the terms and conditions set forth herein.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NOW, THEREFORE, </w:t>
      </w:r>
      <w:r>
        <w:rPr>
          <w:rFonts w:ascii="Times New Roman;Times;Serif" w:hAnsi="Times New Roman;Times;Serif"/>
          <w:b w:val="false"/>
          <w:i w:val="false"/>
          <w:caps w:val="false"/>
          <w:smallCaps w:val="false"/>
          <w:sz w:val="20"/>
        </w:rPr>
        <w:t>in consideration for the mutual covenants contained herein, and for other valuable consideration, the receipt and sufficiency of which are hereby acknowledged, the parties hereto amend the RSU Agreement as set forth below. Capitalized terms used but not defined herein shall have the meaning ascribed to it under the RSU Agreement and the Plan, as the case may be.</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Section 1(b) of the RSU Agreement shall be replaced, in its entirety, with the following:</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Vesting</w:t>
      </w:r>
      <w:r>
        <w:rPr>
          <w:rFonts w:ascii="Times New Roman;Times;Serif" w:hAnsi="Times New Roman;Times;Serif"/>
          <w:b w:val="false"/>
          <w:i w:val="false"/>
          <w:caps w:val="false"/>
          <w:smallCaps w:val="false"/>
          <w:sz w:val="20"/>
        </w:rPr>
        <w:t>. The Restricted Stock Units shall vest in the following amounts on the following dates (each, a “</w:t>
      </w:r>
      <w:r>
        <w:rPr>
          <w:rFonts w:ascii="Times New Roman;Times;Serif" w:hAnsi="Times New Roman;Times;Serif"/>
          <w:b/>
          <w:i w:val="false"/>
          <w:caps w:val="false"/>
          <w:smallCaps w:val="false"/>
          <w:sz w:val="20"/>
          <w:u w:val="single"/>
        </w:rPr>
        <w:t>Vesting Date</w:t>
      </w:r>
      <w:r>
        <w:rPr>
          <w:rFonts w:ascii="Times New Roman;Times;Serif" w:hAnsi="Times New Roman;Times;Serif"/>
          <w:b w:val="false"/>
          <w:i w:val="false"/>
          <w:caps w:val="false"/>
          <w:smallCaps w:val="false"/>
          <w:sz w:val="20"/>
        </w:rPr>
        <w:t>”), subject to the Participant’s Continuous Service from the Grant Date through the vesting date:</w:t>
      </w:r>
    </w:p>
    <w:p>
      <w:pPr>
        <w:pStyle w:val="TextBody"/>
        <w:pBdr/>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28" w:type="dxa"/>
          <w:right w:w="0" w:type="dxa"/>
        </w:tblCellMar>
      </w:tblPr>
      <w:tblGrid>
        <w:gridCol w:w="2825"/>
        <w:gridCol w:w="60"/>
        <w:gridCol w:w="3020"/>
      </w:tblGrid>
      <w:tr>
        <w:trPr/>
        <w:tc>
          <w:tcPr>
            <w:tcW w:w="28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Restricted Stock Units</w:t>
            </w:r>
          </w:p>
        </w:tc>
        <w:tc>
          <w:tcPr>
            <w:tcW w:w="60" w:type="dxa"/>
            <w:tcBorders/>
            <w:tcMar>
              <w:bottom w:w="0" w:type="dxa"/>
            </w:tcMar>
            <w:vAlign w:val="center"/>
          </w:tcPr>
          <w:p>
            <w:pPr>
              <w:pStyle w:val="TableContents"/>
              <w:bidi w:val="0"/>
              <w:spacing w:before="0" w:after="283"/>
              <w:jc w:val="left"/>
              <w:rPr/>
            </w:pPr>
            <w:r>
              <w:rPr/>
              <w:t> </w:t>
            </w:r>
          </w:p>
        </w:tc>
        <w:tc>
          <w:tcPr>
            <w:tcW w:w="30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Vesting Date</w:t>
            </w:r>
          </w:p>
        </w:tc>
      </w:tr>
      <w:tr>
        <w:trPr/>
        <w:tc>
          <w:tcPr>
            <w:tcW w:w="2825"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02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r>
      <w:tr>
        <w:trPr/>
        <w:tc>
          <w:tcPr>
            <w:tcW w:w="2825"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30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17 / November 20], 2027</w:t>
            </w:r>
          </w:p>
        </w:tc>
      </w:tr>
    </w:tbl>
    <w:p>
      <w:pPr>
        <w:pStyle w:val="TextBody"/>
        <w:pBdr/>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1</w:t>
            </w:r>
          </w:p>
        </w:tc>
      </w:tr>
    </w:tbl>
    <w:p>
      <w:pPr>
        <w:pStyle w:val="TextBody"/>
        <w:bidi w:val="0"/>
        <w:spacing w:before="0" w:after="0"/>
        <w:ind w:left="0" w:right="0" w:hanging="0"/>
        <w:jc w:val="left"/>
        <w:rPr/>
      </w:pPr>
      <w:r>
        <w:rPr/>
        <w:t> </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if the Participant incurs a change in the capacity in which the Participant renders service to the Company Group as an Employee, Consultant or Director or a change in the entity for which the Participant renders such service for a member of the Company Group before the Restricted Stock Units have vested, such change in status alone shall not constitute a termination of Continuous Service for purposes of this Award.</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Grant Notice or this Agreement, upon the termination of the Participant’s Continuous Service either on account of the Participant’s death, Disability or by the Company without Cause (each, a “</w:t>
      </w:r>
      <w:r>
        <w:rPr>
          <w:rFonts w:ascii="Times New Roman;Times;Serif" w:hAnsi="Times New Roman;Times;Serif"/>
          <w:b/>
          <w:i w:val="false"/>
          <w:caps w:val="false"/>
          <w:smallCaps w:val="false"/>
          <w:sz w:val="20"/>
          <w:u w:val="single"/>
        </w:rPr>
        <w:t>Qualifying Termination</w:t>
      </w:r>
      <w:r>
        <w:rPr>
          <w:rFonts w:ascii="Times New Roman;Times;Serif" w:hAnsi="Times New Roman;Times;Serif"/>
          <w:b w:val="false"/>
          <w:i w:val="false"/>
          <w:caps w:val="false"/>
          <w:smallCaps w:val="false"/>
          <w:sz w:val="20"/>
        </w:rPr>
        <w:t>”), then the unvested portion of the RSUs shall become immediately vested as of the date of such Qualifying Termination. Upon the termination of the Participant’s Continuous Service for any reason other than a Qualifying Termination (an “</w:t>
      </w:r>
      <w:r>
        <w:rPr>
          <w:rFonts w:ascii="Times New Roman;Times;Serif" w:hAnsi="Times New Roman;Times;Serif"/>
          <w:b/>
          <w:i w:val="false"/>
          <w:caps w:val="false"/>
          <w:smallCaps w:val="false"/>
          <w:sz w:val="20"/>
          <w:u w:val="single"/>
        </w:rPr>
        <w:t>Unqualified Termination</w:t>
      </w:r>
      <w:r>
        <w:rPr>
          <w:rFonts w:ascii="Times New Roman;Times;Serif" w:hAnsi="Times New Roman;Times;Serif"/>
          <w:b w:val="false"/>
          <w:i w:val="false"/>
          <w:caps w:val="false"/>
          <w:smallCaps w:val="false"/>
          <w:sz w:val="20"/>
        </w:rPr>
        <w:t>”), the Vesting Date of the RSUs shall revert to the original RSU Agreement as outlined in section 2(a) - General Vesting. In addition, in the event of a Change in Control of the Company during the Participant’s Continuous Service, then the unvested portion of the RSUs shall become immediately vested as of the date of such Change in Control.</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It is hereby clarified that no separate India Sub Plan has been adopted by the Company in relation to the Plan and/or the RSU Agreement. Accordingly, any reference to the term, “India Sub Plan” under the Plan and/or RSU Agreement be and is hereby deleted.</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This Amendment shall form an integral part of the RSU Agreement. Except as otherwise provided under Clause 1 above, in all other respects, the RSU Agreement shall remain unchanged. All references to the RSU Agreement shall include reference to this Amendment.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the event of any inconsistency between this Amendment and the RSU Agreement, the provisions of this Amendment shall prevail so far as the matters contained herein.</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parties to this Amendment agree and undertake to take all necessary actions to give effect to this Amendment.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Each party to this Amendment confirms that it has the full legal right, capacity and authority to enter into this Amendment, and the provisions of this Amendment, as applicable to each of them, constitute a legal, valid and binding obligation on each of them.</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This Amendment shall be governed by and construed in accordance with the law of the State of Delaware, regardless of the law that might be applied under principles of conflict of laws.</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This Amendment may be executed by DocuSign, facsimile or .PDF in any number of counterparts, any one of which shall be an original, but all of which shall be one and the same instrument.</w:t>
      </w:r>
    </w:p>
    <w:p>
      <w:pPr>
        <w:pStyle w:val="TextBody"/>
        <w:pBdr/>
        <w:bidi w:val="0"/>
        <w:spacing w:before="0" w:after="0"/>
        <w:ind w:left="0" w:right="0" w:firstLine="72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follow]</w:t>
      </w:r>
    </w:p>
    <w:p>
      <w:pPr>
        <w:pStyle w:val="TextBody"/>
        <w:pBdr/>
        <w:bidi w:val="0"/>
        <w:spacing w:before="0" w:after="0"/>
        <w:ind w:left="0" w:right="0" w:firstLine="72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2</w:t>
            </w:r>
          </w:p>
        </w:tc>
      </w:tr>
    </w:tbl>
    <w:p>
      <w:pPr>
        <w:pStyle w:val="TextBody"/>
        <w:bidi w:val="0"/>
        <w:spacing w:before="0" w:after="0"/>
        <w:ind w:left="0" w:right="0" w:hanging="0"/>
        <w:jc w:val="left"/>
        <w:rPr/>
      </w:pPr>
      <w:r>
        <w:rPr/>
        <w:t> </w:t>
      </w:r>
    </w:p>
    <w:p>
      <w:pPr>
        <w:pStyle w:val="TextBody"/>
        <w:pBdr/>
        <w:bidi w:val="0"/>
        <w:spacing w:before="0" w:after="0"/>
        <w:ind w:left="0" w:right="0" w:firstLine="720"/>
        <w:jc w:val="center"/>
        <w:rPr>
          <w:caps w:val="false"/>
          <w:smallCaps w:val="false"/>
        </w:rPr>
      </w:pPr>
      <w:r>
        <w:rPr>
          <w:caps w:val="false"/>
          <w:smallCaps w:val="false"/>
        </w:rPr>
        <w:t> </w:t>
      </w:r>
    </w:p>
    <w:p>
      <w:pPr>
        <w:pStyle w:val="TextBody"/>
        <w:pBd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have caused this instrument to be executed the day and year first above written.</w:t>
      </w:r>
    </w:p>
    <w:p>
      <w:pPr>
        <w:pStyle w:val="TextBody"/>
        <w:pBdr/>
        <w:bidi w:val="0"/>
        <w:spacing w:before="0" w:after="0"/>
        <w:ind w:left="0" w:right="0" w:firstLine="720"/>
        <w:jc w:val="left"/>
        <w:rPr>
          <w:caps w:val="false"/>
          <w:smallCaps w:val="false"/>
        </w:rPr>
      </w:pPr>
      <w:r>
        <w:rPr>
          <w:caps w:val="false"/>
          <w:smallCaps w:val="false"/>
        </w:rPr>
        <w:t> </w:t>
      </w:r>
    </w:p>
    <w:tbl>
      <w:tblPr>
        <w:tblW w:w="1549" w:type="dxa"/>
        <w:jc w:val="left"/>
        <w:tblInd w:w="0" w:type="dxa"/>
        <w:tblLayout w:type="fixed"/>
        <w:tblCellMar>
          <w:top w:w="0" w:type="dxa"/>
          <w:left w:w="0" w:type="dxa"/>
          <w:bottom w:w="0" w:type="dxa"/>
          <w:right w:w="0" w:type="dxa"/>
        </w:tblCellMar>
      </w:tblPr>
      <w:tblGrid>
        <w:gridCol w:w="75"/>
        <w:gridCol w:w="831"/>
        <w:gridCol w:w="64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left"/>
              <w:rPr>
                <w:caps w:val="false"/>
                <w:smallCaps w:val="false"/>
              </w:rPr>
            </w:pPr>
            <w:r>
              <w:rPr>
                <w:caps w:val="false"/>
                <w:smallCaps w:val="false"/>
              </w:rPr>
              <w:t> </w:t>
            </w:r>
          </w:p>
        </w:tc>
        <w:tc>
          <w:tcPr>
            <w:tcW w:w="64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RECIPIENT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bottom w:val="single" w:sz="8" w:space="0" w:color="000000"/>
            </w:tcBorders>
            <w:tcMar>
              <w:bottom w:w="28" w:type="dxa"/>
            </w:tcMar>
            <w:vAlign w:val="center"/>
          </w:tcPr>
          <w:p>
            <w:pPr>
              <w:pStyle w:val="TableContents"/>
              <w:bidi w:val="0"/>
              <w:spacing w:before="0" w:after="283"/>
              <w:jc w:val="both"/>
              <w:rPr>
                <w:caps w:val="false"/>
                <w:smallCaps w:val="false"/>
              </w:rPr>
            </w:pPr>
            <w:r>
              <w:rPr>
                <w:caps w:val="false"/>
                <w:smallCaps w:val="false"/>
              </w:rPr>
              <w:t> </w:t>
            </w:r>
          </w:p>
        </w:tc>
        <w:tc>
          <w:tcPr>
            <w:tcW w:w="64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3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43"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left"/>
              <w:rPr/>
            </w:pPr>
            <w:r>
              <w:rPr/>
              <w:t>3</w:t>
            </w:r>
          </w:p>
        </w:tc>
      </w:tr>
    </w:tbl>
    <w:p>
      <w:pPr>
        <w:pStyle w:val="TextBody"/>
        <w:pBdr/>
        <w:bidi w:val="0"/>
        <w:spacing w:before="0" w:after="0"/>
        <w:ind w:left="0" w:right="0" w:hanging="0"/>
        <w:jc w:val="left"/>
        <w:rPr>
          <w:caps w:val="false"/>
          <w:smallCaps w:val="false"/>
        </w:rPr>
      </w:pPr>
      <w:r>
        <w:rPr>
          <w:caps w:val="false"/>
          <w:smallCaps w:val="false"/>
        </w:rPr>
        <w:t> </w:t>
      </w:r>
    </w:p>
    <w:p>
      <w:pPr>
        <w:pStyle w:val="TextBody"/>
        <w:pBdr/>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1592</Words>
  <Characters>8453</Characters>
  <CharactersWithSpaces>10102</CharactersWithSpaces>
  <Paragraphs>267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