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132715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ROADZEN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380" w:type="dxa"/>
        <w:tblCellMar>
          <w:top w:w="0" w:type="dxa"/>
          <w:left w:w="0" w:type="dxa"/>
          <w:bottom w:w="0" w:type="dxa"/>
          <w:right w:w="0" w:type="dxa"/>
        </w:tblCellMar>
      </w:tblPr>
      <w:tr>
        <w:trPr>
          <w:trHeight w:val="216"/>
        </w:trPr>
        <w:tc>
          <w:tcPr>
            <w:tcW w:w="3900" w:type="dxa"/>
            <w:vAlign w:val="bottom"/>
          </w:tcPr>
          <w:p>
            <w:pPr>
              <w:jc w:val="center"/>
              <w:ind w:right="950"/>
              <w:spacing w:after="0"/>
              <w:rPr>
                <w:sz w:val="20"/>
                <w:szCs w:val="20"/>
                <w:color w:val="auto"/>
              </w:rPr>
            </w:pPr>
            <w:r>
              <w:rPr>
                <w:rFonts w:ascii="Times New Roman" w:cs="Times New Roman" w:eastAsia="Times New Roman" w:hAnsi="Times New Roman"/>
                <w:sz w:val="18"/>
                <w:szCs w:val="18"/>
                <w:b w:val="1"/>
                <w:bCs w:val="1"/>
                <w:color w:val="auto"/>
                <w:w w:val="99"/>
              </w:rPr>
              <w:t>British Virgin Islands</w:t>
            </w:r>
          </w:p>
        </w:tc>
        <w:tc>
          <w:tcPr>
            <w:tcW w:w="316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001-41094</w:t>
            </w:r>
          </w:p>
        </w:tc>
        <w:tc>
          <w:tcPr>
            <w:tcW w:w="2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98-1600102</w:t>
            </w:r>
          </w:p>
        </w:tc>
      </w:tr>
      <w:tr>
        <w:trPr>
          <w:trHeight w:val="216"/>
        </w:trPr>
        <w:tc>
          <w:tcPr>
            <w:tcW w:w="3900" w:type="dxa"/>
            <w:vAlign w:val="bottom"/>
          </w:tcPr>
          <w:p>
            <w:pPr>
              <w:jc w:val="center"/>
              <w:ind w:right="95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316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27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900" w:type="dxa"/>
            <w:vAlign w:val="bottom"/>
          </w:tcPr>
          <w:p>
            <w:pPr>
              <w:jc w:val="center"/>
              <w:ind w:right="95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316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7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37"/>
        </w:trPr>
        <w:tc>
          <w:tcPr>
            <w:tcW w:w="3900" w:type="dxa"/>
            <w:vAlign w:val="bottom"/>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w w:val="98"/>
              </w:rPr>
              <w:t>111 Anza Blvd</w:t>
            </w:r>
          </w:p>
        </w:tc>
        <w:tc>
          <w:tcPr>
            <w:tcW w:w="316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16"/>
        </w:trPr>
        <w:tc>
          <w:tcPr>
            <w:tcW w:w="390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rPr>
              <w:t>Suite 109</w:t>
            </w:r>
          </w:p>
        </w:tc>
        <w:tc>
          <w:tcPr>
            <w:tcW w:w="316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16"/>
        </w:trPr>
        <w:tc>
          <w:tcPr>
            <w:tcW w:w="390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rPr>
              <w:t>Burlingame, California</w:t>
            </w:r>
          </w:p>
        </w:tc>
        <w:tc>
          <w:tcPr>
            <w:tcW w:w="3160" w:type="dxa"/>
            <w:vAlign w:val="bottom"/>
          </w:tcPr>
          <w:p>
            <w:pPr>
              <w:spacing w:after="0"/>
              <w:rPr>
                <w:sz w:val="18"/>
                <w:szCs w:val="18"/>
                <w:color w:val="auto"/>
              </w:rPr>
            </w:pPr>
          </w:p>
        </w:tc>
        <w:tc>
          <w:tcPr>
            <w:tcW w:w="27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94010</w:t>
            </w:r>
          </w:p>
        </w:tc>
      </w:tr>
      <w:tr>
        <w:trPr>
          <w:trHeight w:val="238"/>
        </w:trPr>
        <w:tc>
          <w:tcPr>
            <w:tcW w:w="390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160" w:type="dxa"/>
            <w:vAlign w:val="bottom"/>
          </w:tcPr>
          <w:p>
            <w:pPr>
              <w:spacing w:after="0"/>
              <w:rPr>
                <w:sz w:val="20"/>
                <w:szCs w:val="20"/>
                <w:color w:val="auto"/>
              </w:rPr>
            </w:pPr>
          </w:p>
        </w:tc>
        <w:tc>
          <w:tcPr>
            <w:tcW w:w="27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(347) 745-6448</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45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Ordinary Shares, par value $0.0001 per share</w:t>
            </w:r>
          </w:p>
        </w:tc>
        <w:tc>
          <w:tcPr>
            <w:tcW w:w="240" w:type="dxa"/>
            <w:vAlign w:val="bottom"/>
          </w:tcPr>
          <w:p>
            <w:pPr>
              <w:spacing w:after="0"/>
              <w:rPr>
                <w:sz w:val="16"/>
                <w:szCs w:val="16"/>
                <w:color w:val="auto"/>
              </w:rPr>
            </w:pPr>
          </w:p>
        </w:tc>
        <w:tc>
          <w:tcPr>
            <w:tcW w:w="20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RDZN</w:t>
            </w:r>
          </w:p>
        </w:tc>
        <w:tc>
          <w:tcPr>
            <w:tcW w:w="220" w:type="dxa"/>
            <w:vAlign w:val="bottom"/>
          </w:tcPr>
          <w:p>
            <w:pPr>
              <w:spacing w:after="0"/>
              <w:rPr>
                <w:sz w:val="16"/>
                <w:szCs w:val="16"/>
                <w:color w:val="auto"/>
              </w:rPr>
            </w:pPr>
          </w:p>
        </w:tc>
        <w:tc>
          <w:tcPr>
            <w:tcW w:w="42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Warrants, each warrant exercisable for one ordinary share,</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RDZNW</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7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each at an exercise price of $11.50 per share</w:t>
            </w: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On May 4, 2026, Roadzen Inc. (the “Company”) entered into a placement agency agreement (the “Agency Agreement”) with Maxim Group LLC (the “Placement Agent”) and a securities purchase agreement (the “Purchase Agreement”) with purchasers for the purchase and sale, in a best efforts offering (the “Offering”), of 4,705,870 of the Company’s ordinary shares, par value $0.0001 per share (“Ordinary Shares”), at an offering price of $1.70 per Share.</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Offering closed on May 5, 2026. The Company received gross proceeds of $7,999,979 in connection with the Offering, before deducting Placement Agent fees and other Offering expenses payable by the Company. The Company intends to use the net proceeds from the Offering for working capital and general corporate purposes. The Company may also use a portion of the net proceeds to repay indebtedness outstanding.</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4,705,870 Ordinary Shares sold in the Offering were offered and sold pursuant to the Company’s registration statement on Form S-3 (File No. 333-282966), previously filed with the Securities and Exchange Commission (the “SEC”) on November 1, 2024 and declared effective on November 12, 2024, including the base prospectus contained therein and a prospectus supplement dated May 4, 2026.</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part of its compensation for acting as Placement Agent for the Offering, the Company paid the Placement Agent a cash fee of 6.0% of the aggregate gross proceeds and $30,000 as reimbursement of the Placement Agent’s accountable expenses.</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Agency Agreement and the Purchase Agreement contain customary representations, warranties and covenants made by the Company. They also provide for customary indemnification by the Company for losses or damages arising out of or in connection with the Offering, among other things. In addition, pursuant to the terms of the Agency Agreement, the Company has agreed for a period of 20-days from May 5, 2026, subject to certain exceptions, not to (i) issue, enter into any agreement to issue or announce the issuance or proposed issuance of any Ordinary Shares or Ordinary Share equivalents, other than certain exempted issuance, or (ii) file any registration statement or any amendment or supplement thereto, other than the prospectus supplement in connection with the Offering or a registration statement on Form S-8 in connection with any employee benefit plan.</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foregoing descriptions of the Agency Agreement and the Purchase Agreement do not purport to be complete and are qualified in their entirety by reference to the copies of the Agency Agreement and the Purchase Agreement, which are filed herewith as Exhibits 10.1 and 10.2, respectively.</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representations, warranties and covenants contained in the Agency Agreement and the Purchase Agreement were made only for purposes of such agreement and as of specific dates, were solely for the benefit of the parties to the applicable agreement and may be subject to limitations agreed upon by the contracting parties. Accordingly, each of the Agency Agreement and the Purchase Agreement is incorporated herein by reference only to provide investors with information regarding the terms of such agreement, and not to provide investors with any other factual information regarding the Company or its business, and should be read in conjunction with the disclosures in the Company’s periodic reports and other filings with the SEC.</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legal opinion, including the related consent, of Maples &amp; Calder relating to the issuance and sale of the Ordinary Shares issued in the Offering is filed as Exhibit 5.1 hereto.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May 4, 2026, the Company issued a press release announcing the pricing of the Offering. A copy of the press release is attached as Exhibit 99.1 to this Current Report on Form 8-K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780" w:type="dxa"/>
            <w:vAlign w:val="bottom"/>
          </w:tcPr>
          <w:p>
            <w:pPr>
              <w:spacing w:after="0"/>
              <w:rPr>
                <w:sz w:val="20"/>
                <w:szCs w:val="20"/>
                <w:color w:val="auto"/>
              </w:rPr>
            </w:pPr>
          </w:p>
        </w:tc>
      </w:tr>
      <w:tr>
        <w:trPr>
          <w:trHeight w:val="41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780" w:type="dxa"/>
            <w:vAlign w:val="bottom"/>
          </w:tcPr>
          <w:p>
            <w:pPr>
              <w:spacing w:after="0"/>
              <w:rPr>
                <w:sz w:val="24"/>
                <w:szCs w:val="24"/>
                <w:color w:val="auto"/>
              </w:rPr>
            </w:pPr>
          </w:p>
        </w:tc>
      </w:t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385"/>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24"/>
                <w:szCs w:val="24"/>
                <w:color w:val="auto"/>
              </w:rPr>
            </w:pPr>
          </w:p>
        </w:tc>
        <w:tc>
          <w:tcPr>
            <w:tcW w:w="1014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0000EE"/>
              </w:rPr>
              <w:t>Opinion of Maples &amp; Calder.</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7"/>
                <w:szCs w:val="17"/>
                <w:color w:val="auto"/>
              </w:rPr>
            </w:pPr>
          </w:p>
        </w:tc>
        <w:tc>
          <w:tcPr>
            <w:tcW w:w="101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Placement Agency Agreement, dated May 4, 2026.</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7"/>
                <w:szCs w:val="17"/>
                <w:color w:val="auto"/>
              </w:rPr>
            </w:pPr>
          </w:p>
        </w:tc>
        <w:tc>
          <w:tcPr>
            <w:tcW w:w="101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Form of Securities Purchase Agreement, dated May 4, 2026.</w:t>
            </w: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17"/>
                <w:szCs w:val="17"/>
                <w:color w:val="auto"/>
              </w:rPr>
            </w:pPr>
          </w:p>
        </w:tc>
        <w:tc>
          <w:tcPr>
            <w:tcW w:w="436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Consent of Maples &amp; Calder (included in Exhibit 5.1).</w:t>
            </w:r>
          </w:p>
        </w:tc>
        <w:tc>
          <w:tcPr>
            <w:tcW w:w="578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7"/>
                <w:szCs w:val="17"/>
                <w:color w:val="auto"/>
              </w:rPr>
            </w:pPr>
          </w:p>
        </w:tc>
        <w:tc>
          <w:tcPr>
            <w:tcW w:w="392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Press Release dated May 4, 2026.</w:t>
            </w:r>
          </w:p>
        </w:tc>
        <w:tc>
          <w:tcPr>
            <w:tcW w:w="6220" w:type="dxa"/>
            <w:vAlign w:val="bottom"/>
            <w:gridSpan w:val="2"/>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7720" w:type="dxa"/>
            <w:vAlign w:val="bottom"/>
            <w:gridSpan w:val="4"/>
          </w:tcPr>
          <w:p>
            <w:pPr>
              <w:spacing w:after="0" w:line="20" w:lineRule="exact"/>
              <w:rPr>
                <w:sz w:val="1"/>
                <w:szCs w:val="1"/>
                <w:color w:val="auto"/>
              </w:rPr>
            </w:pPr>
          </w:p>
        </w:tc>
      </w:tr>
      <w:tr>
        <w:trPr>
          <w:trHeight w:val="23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768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ROADZEN INC.</w:t>
            </w: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2026</w:t>
            </w:r>
          </w:p>
        </w:tc>
        <w:tc>
          <w:tcPr>
            <w:tcW w:w="26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Jean-Noel Gallardo</w:t>
            </w:r>
          </w:p>
        </w:tc>
      </w:tr>
      <w:tr>
        <w:trPr>
          <w:trHeight w:val="191"/>
        </w:trPr>
        <w:tc>
          <w:tcPr>
            <w:tcW w:w="3560" w:type="dxa"/>
            <w:vAlign w:val="bottom"/>
          </w:tcPr>
          <w:p>
            <w:pPr>
              <w:spacing w:after="0"/>
              <w:rPr>
                <w:sz w:val="16"/>
                <w:szCs w:val="16"/>
                <w:color w:val="auto"/>
              </w:rPr>
            </w:pPr>
          </w:p>
        </w:tc>
        <w:tc>
          <w:tcPr>
            <w:tcW w:w="2640" w:type="dxa"/>
            <w:vAlign w:val="bottom"/>
          </w:tcPr>
          <w:p>
            <w:pPr>
              <w:ind w:left="20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Jean-Noel Gallardo</w:t>
            </w:r>
          </w:p>
        </w:tc>
      </w:tr>
      <w:tr>
        <w:trPr>
          <w:trHeight w:val="234"/>
        </w:trPr>
        <w:tc>
          <w:tcPr>
            <w:tcW w:w="3560" w:type="dxa"/>
            <w:vAlign w:val="bottom"/>
          </w:tcPr>
          <w:p>
            <w:pPr>
              <w:spacing w:after="0"/>
              <w:rPr>
                <w:sz w:val="20"/>
                <w:szCs w:val="20"/>
                <w:color w:val="auto"/>
              </w:rPr>
            </w:pPr>
          </w:p>
        </w:tc>
        <w:tc>
          <w:tcPr>
            <w:tcW w:w="26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35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285875" cy="11741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5875" cy="1174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Roadzen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Kingston Chambers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173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Road Town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Tortola, VG1110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British Virgin Islands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May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Roadzen Inc.</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have acted as counsel as to British Virgin Islands law to Roadzen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the Company’s registration statement on Form S-3, including all amendments or supplements thereto, including the prospectus supplement dated 4 May 2026 filed with the United States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under the United States Securities Act of 1933, as amended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(including its exhibits,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for the purposes of, registering with the Commission under the Act, the offering and sale of 4,705,870 ordinary shares with a par value of US$0.0001 each in the Company (the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under the terms of the SPA (as defined below).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opinion letter is given in accordance with the terms of the Legal Matters section of the Registration Statement.</w:t>
      </w:r>
    </w:p>
    <w:p>
      <w:pPr>
        <w:spacing w:after="0" w:line="221"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 Reviewed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reviewed originals, copies, drafts or conformed copies of the following documents:</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The public records of the Company on file and available for public inspection at the Registry of Corporate Affairs in the British Virgin Islands (the “</w:t>
      </w:r>
      <w:r>
        <w:rPr>
          <w:rFonts w:ascii="Times New Roman" w:cs="Times New Roman" w:eastAsia="Times New Roman" w:hAnsi="Times New Roman"/>
          <w:sz w:val="18"/>
          <w:szCs w:val="18"/>
          <w:b w:val="1"/>
          <w:bCs w:val="1"/>
          <w:color w:val="auto"/>
        </w:rPr>
        <w:t>Registry of Corporate Affairs</w:t>
      </w:r>
      <w:r>
        <w:rPr>
          <w:rFonts w:ascii="Times New Roman" w:cs="Times New Roman" w:eastAsia="Times New Roman" w:hAnsi="Times New Roman"/>
          <w:sz w:val="18"/>
          <w:szCs w:val="18"/>
          <w:color w:val="auto"/>
        </w:rPr>
        <w:t>”) on 4 May 2026, including the Company’s Certificate of Incorporation and the memorandum and articles of association registered on 20 September 2023 (the “</w:t>
      </w:r>
      <w:r>
        <w:rPr>
          <w:rFonts w:ascii="Times New Roman" w:cs="Times New Roman" w:eastAsia="Times New Roman" w:hAnsi="Times New Roman"/>
          <w:sz w:val="18"/>
          <w:szCs w:val="18"/>
          <w:b w:val="1"/>
          <w:bCs w:val="1"/>
          <w:color w:val="auto"/>
        </w:rPr>
        <w:t>Memorandum and Articles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A list of the Company’s directors provided by the Registry of Corporate Affairs dated 4 May 2026 (the “</w:t>
      </w:r>
      <w:r>
        <w:rPr>
          <w:rFonts w:ascii="Times New Roman" w:cs="Times New Roman" w:eastAsia="Times New Roman" w:hAnsi="Times New Roman"/>
          <w:sz w:val="17"/>
          <w:szCs w:val="17"/>
          <w:b w:val="1"/>
          <w:bCs w:val="1"/>
          <w:color w:val="auto"/>
        </w:rPr>
        <w:t>Registry List of Directors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The records of proceedings available from a search of the electronic records maintained on the Judicial Enforcement Management System and the E-Litigation Portal from 1 January 2000 and available for inspection on 4 May 2026 at the British Virgin Islands High Court Registry (the “</w:t>
      </w:r>
      <w:r>
        <w:rPr>
          <w:rFonts w:ascii="Times New Roman" w:cs="Times New Roman" w:eastAsia="Times New Roman" w:hAnsi="Times New Roman"/>
          <w:sz w:val="18"/>
          <w:szCs w:val="18"/>
          <w:b w:val="1"/>
          <w:bCs w:val="1"/>
          <w:color w:val="auto"/>
        </w:rPr>
        <w:t>High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Court Registry</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1023620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123190</wp:posOffset>
            </wp:positionV>
            <wp:extent cx="5572125" cy="6254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72125" cy="62547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7"/>
          <w:szCs w:val="17"/>
          <w:color w:val="auto"/>
        </w:rPr>
        <w:t>The written resolutions of the board of directors of the Company dated 1 November 2024, 29 July 2025 and 4 May 2026 (the “</w:t>
      </w:r>
      <w:r>
        <w:rPr>
          <w:rFonts w:ascii="Times New Roman" w:cs="Times New Roman" w:eastAsia="Times New Roman" w:hAnsi="Times New Roman"/>
          <w:sz w:val="17"/>
          <w:szCs w:val="17"/>
          <w:b w:val="1"/>
          <w:bCs w:val="1"/>
          <w:color w:val="auto"/>
        </w:rPr>
        <w:t>Resolutions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8"/>
          <w:szCs w:val="18"/>
          <w:color w:val="auto"/>
        </w:rPr>
        <w:t>A Certificate of Incumbency dated 4 May 2026, issued by Maples Corporate Services (BVI) Limited, the Company’s registered agent (the “</w:t>
      </w:r>
      <w:r>
        <w:rPr>
          <w:rFonts w:ascii="Times New Roman" w:cs="Times New Roman" w:eastAsia="Times New Roman" w:hAnsi="Times New Roman"/>
          <w:sz w:val="18"/>
          <w:szCs w:val="18"/>
          <w:b w:val="1"/>
          <w:bCs w:val="1"/>
          <w:color w:val="auto"/>
        </w:rPr>
        <w:t>Registered Agent’s Certificate</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right="2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8"/>
          <w:szCs w:val="18"/>
          <w:color w:val="auto"/>
        </w:rPr>
        <w:t>A certificate of good standing with respect to the Company issued by the Registrar of Corporate Affairs dated 4 May 2026 (the “</w:t>
      </w:r>
      <w:r>
        <w:rPr>
          <w:rFonts w:ascii="Times New Roman" w:cs="Times New Roman" w:eastAsia="Times New Roman" w:hAnsi="Times New Roman"/>
          <w:sz w:val="18"/>
          <w:szCs w:val="18"/>
          <w:b w:val="1"/>
          <w:bCs w:val="1"/>
          <w:color w:val="auto"/>
        </w:rPr>
        <w:t>Certificate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Good Standing</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7"/>
          <w:szCs w:val="17"/>
          <w:color w:val="auto"/>
        </w:rPr>
        <w:t>A certificate from a director of the Company a copy of which is attached to this opinion (the “</w:t>
      </w:r>
      <w:r>
        <w:rPr>
          <w:rFonts w:ascii="Times New Roman" w:cs="Times New Roman" w:eastAsia="Times New Roman" w:hAnsi="Times New Roman"/>
          <w:sz w:val="17"/>
          <w:szCs w:val="17"/>
          <w:b w:val="1"/>
          <w:bCs w:val="1"/>
          <w:color w:val="auto"/>
        </w:rPr>
        <w:t>Director’s Certificate</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w:t>
      </w:r>
      <w:r>
        <w:rPr>
          <w:sz w:val="20"/>
          <w:szCs w:val="20"/>
          <w:color w:val="auto"/>
        </w:rPr>
        <w:tab/>
      </w:r>
      <w:r>
        <w:rPr>
          <w:rFonts w:ascii="Times New Roman" w:cs="Times New Roman" w:eastAsia="Times New Roman" w:hAnsi="Times New Roman"/>
          <w:sz w:val="17"/>
          <w:szCs w:val="17"/>
          <w:color w:val="auto"/>
        </w:rPr>
        <w:t>The Registration Statement.</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1.9</w:t>
      </w:r>
      <w:r>
        <w:rPr>
          <w:sz w:val="20"/>
          <w:szCs w:val="20"/>
          <w:color w:val="auto"/>
        </w:rPr>
        <w:tab/>
      </w:r>
      <w:r>
        <w:rPr>
          <w:rFonts w:ascii="Times New Roman" w:cs="Times New Roman" w:eastAsia="Times New Roman" w:hAnsi="Times New Roman"/>
          <w:sz w:val="17"/>
          <w:szCs w:val="17"/>
          <w:color w:val="auto"/>
        </w:rPr>
        <w:t>A securities purchase agreement dated 4 May 2026 and entered into by the Company and two institutional investors (the “</w:t>
      </w:r>
      <w:r>
        <w:rPr>
          <w:rFonts w:ascii="Times New Roman" w:cs="Times New Roman" w:eastAsia="Times New Roman" w:hAnsi="Times New Roman"/>
          <w:sz w:val="17"/>
          <w:szCs w:val="17"/>
          <w:b w:val="1"/>
          <w:bCs w:val="1"/>
          <w:color w:val="auto"/>
        </w:rPr>
        <w:t>SPA</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Assumptions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opinions are given only as to, and based on, circumstances and matters of fact existing and known to us on the date of this opinion letter. These opinions only relate to the laws of the British Virgin Islands which are in force on the date of this opinion letter. In giving the following opinions we have relied (without further verification) upon the completeness and accuracy, as at the date of this opinion letter, of the Registry List of Directors, the Registered Agent’s Certificate, the Director’s Certificate and the Certificate of Good Standing. We have also relied upon the following assumptions, which we have not independently verified:</w:t>
      </w:r>
    </w:p>
    <w:p>
      <w:pPr>
        <w:spacing w:after="0" w:line="183"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The SPA has been or will be authorised and duly executed and unconditionally delivered by or on behalf of all relevant parties in accordance with all relevant laws (other than, with respect to the Company, the laws of the British Virgin Islands).</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The SPA is, or will be, legal, valid, binding and enforceable against all relevant parties in accordance with their terms under the laws of the State of New York (the “</w:t>
      </w:r>
      <w:r>
        <w:rPr>
          <w:rFonts w:ascii="Times New Roman" w:cs="Times New Roman" w:eastAsia="Times New Roman" w:hAnsi="Times New Roman"/>
          <w:sz w:val="18"/>
          <w:szCs w:val="18"/>
          <w:b w:val="1"/>
          <w:bCs w:val="1"/>
          <w:color w:val="auto"/>
        </w:rPr>
        <w:t>Relevant Law</w:t>
      </w:r>
      <w:r>
        <w:rPr>
          <w:rFonts w:ascii="Times New Roman" w:cs="Times New Roman" w:eastAsia="Times New Roman" w:hAnsi="Times New Roman"/>
          <w:sz w:val="18"/>
          <w:szCs w:val="18"/>
          <w:color w:val="auto"/>
        </w:rPr>
        <w:t>”) and all other relevant laws (other than, with respect to the Company, the laws of the British Virgin Islands).</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The choice of the Relevant Law as the governing law of the SPA has been made in good faith and would be regarded as a valid and binding selection which will be upheld by the courts of the State of New York and any other relevant jurisdiction (other than the British Virgin Islands) as a matter of the Relevant Law and all other relevant laws (other than the laws of the British Virgin Islands).</w:t>
      </w:r>
    </w:p>
    <w:p>
      <w:pPr>
        <w:spacing w:after="0" w:line="17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color w:val="auto"/>
        </w:rPr>
        <w:t>Copies of documents, conformed copies or drafts of documents provided to us are true and complete copies of, or in the final forms of, the originals.</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7"/>
          <w:szCs w:val="17"/>
          <w:color w:val="auto"/>
        </w:rPr>
        <w:t>All signatures, initials and seals are genuine.</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8"/>
          <w:szCs w:val="18"/>
          <w:color w:val="auto"/>
        </w:rPr>
        <w:t>The capacity, power, authority and legal right of all parties under all relevant laws and regulations (other than, with respect to the Company, the laws and regulations of the British Virgin Islands) to enter into, execute, unconditionally deliver and perform their respective obligations under the SPA.</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 w:name="page6"/>
    <w:bookmarkEnd w:id="5"/>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8"/>
          <w:szCs w:val="18"/>
          <w:color w:val="auto"/>
        </w:rPr>
        <w:t>That all public records of the Company which we have examined are accurate and that the information disclosed by the searches which we conducted against the Company at the Registry of Corporate Affairs and the High Court Registry is true and complete and that such information has not since then been altered and that such searches did not fail to disclose any such information which had been delivered for registration but did not appear on the public records at the date of our searches.</w:t>
      </w:r>
    </w:p>
    <w:p>
      <w:pPr>
        <w:spacing w:after="0" w:line="180"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2.8</w:t>
      </w:r>
      <w:r>
        <w:rPr>
          <w:sz w:val="20"/>
          <w:szCs w:val="20"/>
          <w:color w:val="auto"/>
        </w:rPr>
        <w:tab/>
      </w:r>
      <w:r>
        <w:rPr>
          <w:rFonts w:ascii="Times New Roman" w:cs="Times New Roman" w:eastAsia="Times New Roman" w:hAnsi="Times New Roman"/>
          <w:sz w:val="18"/>
          <w:szCs w:val="18"/>
          <w:color w:val="auto"/>
        </w:rPr>
        <w:t>No invitation has been or will be made by or on behalf of the Company to the public in the British Virgin Islands to subscribe for any of the Ordinary Shares.</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2.9</w:t>
      </w:r>
      <w:r>
        <w:rPr>
          <w:sz w:val="20"/>
          <w:szCs w:val="20"/>
          <w:color w:val="auto"/>
        </w:rPr>
        <w:tab/>
      </w:r>
      <w:r>
        <w:rPr>
          <w:rFonts w:ascii="Times New Roman" w:cs="Times New Roman" w:eastAsia="Times New Roman" w:hAnsi="Times New Roman"/>
          <w:sz w:val="18"/>
          <w:szCs w:val="18"/>
          <w:color w:val="auto"/>
        </w:rPr>
        <w:t>There is no contractual or other prohibition or restriction (other than as arising under British Virgin Islands law) binding on the Company prohibiting or restricting it from entering into and performing its obligations under the SPA and the Registration Statement.</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2.10</w:t>
      </w:r>
      <w:r>
        <w:rPr>
          <w:sz w:val="20"/>
          <w:szCs w:val="20"/>
          <w:color w:val="auto"/>
        </w:rPr>
        <w:tab/>
      </w:r>
      <w:r>
        <w:rPr>
          <w:rFonts w:ascii="Times New Roman" w:cs="Times New Roman" w:eastAsia="Times New Roman" w:hAnsi="Times New Roman"/>
          <w:sz w:val="18"/>
          <w:szCs w:val="18"/>
          <w:color w:val="auto"/>
        </w:rPr>
        <w:t>No monies paid to or for the account of any party under the SPA or any property received or disposed of by any party to the SPA in each case in connection with the SPA or the consummation of the transactions contemplated thereby represent or will represent proceeds of criminal conduct or criminal property or terrorist property (as defined in the Proceeds of Criminal Conduct Act (As Revised)).</w:t>
      </w:r>
    </w:p>
    <w:p>
      <w:pPr>
        <w:spacing w:after="0" w:line="17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8"/>
          <w:szCs w:val="18"/>
          <w:color w:val="auto"/>
        </w:rPr>
        <w:t>There is nothing contained in the minute book or corporate records of the Company (which we have not inspected) which would or might affect the opinions set out below.</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2.12</w:t>
      </w:r>
      <w:r>
        <w:rPr>
          <w:sz w:val="20"/>
          <w:szCs w:val="20"/>
          <w:color w:val="auto"/>
        </w:rPr>
        <w:tab/>
      </w:r>
      <w:r>
        <w:rPr>
          <w:rFonts w:ascii="Times New Roman" w:cs="Times New Roman" w:eastAsia="Times New Roman" w:hAnsi="Times New Roman"/>
          <w:sz w:val="18"/>
          <w:szCs w:val="18"/>
          <w:color w:val="auto"/>
        </w:rPr>
        <w:t>There is nothing under any law (other than the laws of the British Virgin Islands) which would or might affect the opinions set out below.</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Specifically, we have made no independent investigation of the Relevant Law.</w:t>
      </w:r>
    </w:p>
    <w:p>
      <w:pPr>
        <w:spacing w:after="0" w:line="207"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2.13</w:t>
      </w:r>
      <w:r>
        <w:rPr>
          <w:sz w:val="20"/>
          <w:szCs w:val="20"/>
          <w:color w:val="auto"/>
        </w:rPr>
        <w:tab/>
      </w:r>
      <w:r>
        <w:rPr>
          <w:rFonts w:ascii="Times New Roman" w:cs="Times New Roman" w:eastAsia="Times New Roman" w:hAnsi="Times New Roman"/>
          <w:sz w:val="18"/>
          <w:szCs w:val="18"/>
          <w:color w:val="auto"/>
        </w:rPr>
        <w:t>The Company will have sufficient authorised and unissued shares under the Memorandum and Articles at the time any Ordinary Shares were or are issued.</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2.14</w:t>
      </w:r>
      <w:r>
        <w:rPr>
          <w:sz w:val="20"/>
          <w:szCs w:val="20"/>
          <w:color w:val="auto"/>
        </w:rPr>
        <w:tab/>
      </w:r>
      <w:r>
        <w:rPr>
          <w:rFonts w:ascii="Times New Roman" w:cs="Times New Roman" w:eastAsia="Times New Roman" w:hAnsi="Times New Roman"/>
          <w:sz w:val="18"/>
          <w:szCs w:val="18"/>
          <w:color w:val="auto"/>
        </w:rPr>
        <w:t>The Company will receive or has received, cash consideration or non-cash consideration in consideration for the issue of the Ordinary Shares and none of the Ordinary Shares were, or will be, issued for less than par value.</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2.15</w:t>
      </w:r>
      <w:r>
        <w:rPr>
          <w:sz w:val="20"/>
          <w:szCs w:val="20"/>
          <w:color w:val="auto"/>
        </w:rPr>
        <w:tab/>
      </w:r>
      <w:r>
        <w:rPr>
          <w:rFonts w:ascii="Times New Roman" w:cs="Times New Roman" w:eastAsia="Times New Roman" w:hAnsi="Times New Roman"/>
          <w:sz w:val="18"/>
          <w:szCs w:val="18"/>
          <w:color w:val="auto"/>
        </w:rPr>
        <w:t>The Ordinary Shares that will be issued pursuant to the SPA will be duly registered, and will continue to be registered, in the Company’s register of members.</w:t>
      </w:r>
    </w:p>
    <w:p>
      <w:pPr>
        <w:spacing w:after="0" w:line="162"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2.16</w:t>
      </w:r>
      <w:r>
        <w:rPr>
          <w:sz w:val="20"/>
          <w:szCs w:val="20"/>
          <w:color w:val="auto"/>
        </w:rPr>
        <w:tab/>
      </w:r>
      <w:r>
        <w:rPr>
          <w:rFonts w:ascii="Times New Roman" w:cs="Times New Roman" w:eastAsia="Times New Roman" w:hAnsi="Times New Roman"/>
          <w:sz w:val="18"/>
          <w:szCs w:val="18"/>
          <w:color w:val="auto"/>
        </w:rPr>
        <w:t>There are no circumstances or matters of fact existing which may properly form the basis for an application for an order for rectification of the register of members of the Company.</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Save as aforesaid we have not been instructed to undertake and have not undertaken any further enquiry or due diligence in relation to the transaction the subject of this opinion letter.</w:t>
      </w:r>
    </w:p>
    <w:p>
      <w:pPr>
        <w:spacing w:after="0" w:line="158"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Opinions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Based upon, and subject to, the foregoing assumptions and the qualifications set out below, and having regard to such legal considerations as we deem relevant, we are of the opinion that:</w:t>
      </w:r>
    </w:p>
    <w:p>
      <w:pPr>
        <w:spacing w:after="0" w:line="158" w:lineRule="exact"/>
        <w:rPr>
          <w:sz w:val="20"/>
          <w:szCs w:val="20"/>
          <w:color w:val="auto"/>
        </w:rPr>
      </w:pPr>
    </w:p>
    <w:p>
      <w:pPr>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The Company is a company limited by shares incorporated with limited liability under the BVI Business Companies Act (As Revised)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is in good standing at the Registry of Corporate Affairs and is validly existing under the laws of the British Virgin Islands.</w:t>
      </w:r>
    </w:p>
    <w:p>
      <w:pPr>
        <w:spacing w:after="0" w:line="1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 w:name="page7"/>
    <w:bookmarkEnd w:id="6"/>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The Ordinary Shares to be offered and issued by the Company as contemplated by the SPA have been duly authorised for issue, and when issued by the Company against payment in full of the consideration as set out in the SPA and in accordance with the terms set out in the SPA, such Ordinary Shares will be validly allotted and issued as fully paid and non-assessable. As a matter of British Virgin Islands law, a share is only issued when it has been entered in the register of members.</w:t>
      </w:r>
    </w:p>
    <w:p>
      <w:pPr>
        <w:spacing w:after="0" w:line="176"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Qualifications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opinions expressed above are subject to the following qualifications:</w:t>
      </w:r>
    </w:p>
    <w:p>
      <w:pPr>
        <w:spacing w:after="0" w:line="225"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The obligations assumed by the Company under the SPA will not necessarily be enforceable in all circumstances in accordance with their terms. In particular:</w:t>
      </w:r>
    </w:p>
    <w:p>
      <w:pPr>
        <w:spacing w:after="0" w:line="162" w:lineRule="exact"/>
        <w:rPr>
          <w:sz w:val="20"/>
          <w:szCs w:val="20"/>
          <w:color w:val="auto"/>
        </w:rPr>
      </w:pPr>
    </w:p>
    <w:p>
      <w:pPr>
        <w:ind w:left="1300" w:right="20" w:hanging="644"/>
        <w:spacing w:after="0" w:line="282"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enforcement may be limited by bankruptcy, insolvency, liquidation, reorganisation, readjustment of debts or moratorium or other laws of general application relating to or affecting the rights of creditors;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enforcement may be limited by general principles of equity. For example, equitable remedies such as specific performance may not be available,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where damages are considered to be an adequate remedy;</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obligations are to be performed in a jurisdiction outside the British Virgin Islands, they may not be enforceable in the British Virgin Islands to the extent that performance would be illegal under the laws of that jurisdiction;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claims may become barred under relevant statutes of limitation or may be or become subject to defences of set off, counterclaim, estoppel and similar defences.</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To maintain the Company in good standing with the Registrar of Corporate Affairs under the laws of the British Virgin Islands, annual filing fees must be paid and returns made to the Registrar of Corporate Affairs within the time frame prescribed by law.</w:t>
      </w:r>
    </w:p>
    <w:p>
      <w:pPr>
        <w:spacing w:after="0" w:line="160"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 xml:space="preserve">Under British Virgin Islands law, the register of members is </w:t>
      </w:r>
      <w:r>
        <w:rPr>
          <w:rFonts w:ascii="Times New Roman" w:cs="Times New Roman" w:eastAsia="Times New Roman" w:hAnsi="Times New Roman"/>
          <w:sz w:val="18"/>
          <w:szCs w:val="18"/>
          <w:i w:val="1"/>
          <w:iCs w:val="1"/>
          <w:color w:val="auto"/>
        </w:rPr>
        <w:t>prima facie</w:t>
      </w:r>
      <w:r>
        <w:rPr>
          <w:rFonts w:ascii="Times New Roman" w:cs="Times New Roman" w:eastAsia="Times New Roman" w:hAnsi="Times New Roman"/>
          <w:sz w:val="18"/>
          <w:szCs w:val="18"/>
          <w:color w:val="auto"/>
        </w:rPr>
        <w:t xml:space="preserve"> evidence of title to shares and this register would not record a third party interest in such shares. However, there are certain limited circumstances where an application may be made to a British Virgin Islands court for a determination on whether the register of members reflects the correct legal position. Further, the British Virgin Islands court has the power to order that the register of members maintained by a company should be rectified where it considers that the register of members does not reflect the correct legal position. For the purposes of the opinion given in paragraph 3.2, there are no circumstances or matters of fact known to us on the date of this opinion letter which would properly form the basis for an application for an order for rectification of the register of members of the Company, but if such an application were made in respect of the Ordinary Shares, then the validity of such shares may be subject to re-examination by a British Virgin Islands court.</w:t>
      </w:r>
    </w:p>
    <w:p>
      <w:pPr>
        <w:spacing w:after="0" w:line="187"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color w:val="auto"/>
        </w:rPr>
        <w:t>In this opinion letter, the phrase “non-assessable” means, with respect to the issuance of shares, that a shareholder shall not, in respect of the relevant shares and in the absence of a contractual arrangement, or an obligation pursuant to the memorandum and articles of association, to the contrary, have any obligation to make further contributions to the Company’s assets (except in exceptional circumstances, such as involving fraud, the establishment of an agency relationship or an illegal or improper purpose or other circumstances in which a court may be prepared to pierce or lift the corporate veil).</w:t>
      </w: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color w:val="auto"/>
        </w:rPr>
        <w:t>The search of records of proceedings available at the High Court Registry would not reveal any proceeding which has been placed under seal or anonymised (whether by order of the Court or pursuant to the practice of the High Court Registry).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letter as an exhibit to the Company’s current report on Form 8-K being filed on the date hereof and incorporated by reference into the Registration Statement and to the references to our firm under the headings “Legal Matters” in the prospectus included in the Registration Statement. In providing our consent, we do not thereby admit that we are in the category of persons whose consent is required under section 7 of the Act or the Rules and Regulations of the Commission thereunder.</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express no view as to the commercial terms of the SPA or whether such terms represent the intentions of the parties and make no comment with regard to warranties or representations that may be made by the Company.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opinions in this opinion letter are strictly limited to the matters contained in the opinions section above and do not extend to any other matters. We have not been asked to review and we therefore have not reviewed any of the ancillary documents relating to the SPA and express no opinion or observation upon the terms of any such document.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opinion letter is addressed to you and may be relied upon by you, your counsel and purchasers of Shares pursuant to the Registration Statement. This opinion letter is limited to the matters detailed herein and is not to be read as an opinion with respect to any other matter.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Maples and Calder</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Maples and Calder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Director’s Certificate</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color w:val="auto"/>
        </w:rPr>
        <w:t>Maples and Calder</w:t>
      </w:r>
    </w:p>
    <w:p>
      <w:pPr>
        <w:ind w:left="660"/>
        <w:spacing w:after="0" w:line="205" w:lineRule="auto"/>
        <w:rPr>
          <w:sz w:val="20"/>
          <w:szCs w:val="20"/>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Ritter House</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PO Box 173</w:t>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Road Town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Tortola</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British Virgin Islands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 May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Roadzen Inc.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I, the undersigned, being a director of the Company, am aware that you are being asked to provide an opinion letter (the “</w:t>
      </w:r>
      <w:r>
        <w:rPr>
          <w:rFonts w:ascii="Times New Roman" w:cs="Times New Roman" w:eastAsia="Times New Roman" w:hAnsi="Times New Roman"/>
          <w:sz w:val="18"/>
          <w:szCs w:val="18"/>
          <w:b w:val="1"/>
          <w:bCs w:val="1"/>
          <w:color w:val="auto"/>
        </w:rPr>
        <w:t>Opinion</w:t>
      </w:r>
      <w:r>
        <w:rPr>
          <w:rFonts w:ascii="Times New Roman" w:cs="Times New Roman" w:eastAsia="Times New Roman" w:hAnsi="Times New Roman"/>
          <w:sz w:val="18"/>
          <w:szCs w:val="18"/>
          <w:color w:val="auto"/>
        </w:rPr>
        <w:t>”) in relation to certain aspects of British Virgin Islands law. Unless otherwise defined herein, capitalised terms used in this certificate have the respective meanings given to them in the Opinion. I hereby certify that:</w:t>
      </w:r>
    </w:p>
    <w:p>
      <w:pPr>
        <w:spacing w:after="0" w:line="175" w:lineRule="exact"/>
        <w:rPr>
          <w:sz w:val="20"/>
          <w:szCs w:val="20"/>
          <w:color w:val="auto"/>
        </w:rPr>
      </w:pPr>
    </w:p>
    <w:p>
      <w:pPr>
        <w:ind w:left="660" w:hanging="652"/>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Memorandum and Articles of Association of the Company registered on 20 September 2023 remain in full force and effect and are unamended.</w:t>
      </w:r>
    </w:p>
    <w:p>
      <w:pPr>
        <w:spacing w:after="0" w:line="158" w:lineRule="exact"/>
        <w:rPr>
          <w:sz w:val="20"/>
          <w:szCs w:val="20"/>
          <w:color w:val="auto"/>
        </w:rPr>
      </w:pPr>
    </w:p>
    <w:p>
      <w:pPr>
        <w:jc w:val="both"/>
        <w:ind w:left="660" w:hanging="652"/>
        <w:spacing w:after="0" w:line="26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resolutions dated 1 November 2024, 29 July 2025 and 4 May 2026 (the “</w:t>
      </w:r>
      <w:r>
        <w:rPr>
          <w:rFonts w:ascii="Times New Roman" w:cs="Times New Roman" w:eastAsia="Times New Roman" w:hAnsi="Times New Roman"/>
          <w:sz w:val="18"/>
          <w:szCs w:val="18"/>
          <w:b w:val="1"/>
          <w:bCs w:val="1"/>
          <w:color w:val="auto"/>
        </w:rPr>
        <w:t>Resolutions</w:t>
      </w:r>
      <w:r>
        <w:rPr>
          <w:rFonts w:ascii="Times New Roman" w:cs="Times New Roman" w:eastAsia="Times New Roman" w:hAnsi="Times New Roman"/>
          <w:sz w:val="18"/>
          <w:szCs w:val="18"/>
          <w:color w:val="auto"/>
        </w:rPr>
        <w:t>”) were duly passed in the manner prescribed in the Memorandum and Articles (including, without limitation, with respect to the disclosure of interests (if any) by directors of the Company). The Resolutions have not been amended, varied or revoked in any respect and the directors of the Company have not restricted or limited the powers of any future directors of the Company in any way.</w:t>
      </w:r>
    </w:p>
    <w:p>
      <w:pPr>
        <w:spacing w:after="0" w:line="180" w:lineRule="exact"/>
        <w:rPr>
          <w:sz w:val="20"/>
          <w:szCs w:val="20"/>
          <w:color w:val="auto"/>
        </w:rPr>
      </w:pPr>
    </w:p>
    <w:p>
      <w:pPr>
        <w:ind w:left="660" w:right="20" w:hanging="652"/>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the issue of the Ordinary Shares, the Company had or will have sufficient authorised but unissued shares in order for Ordinary Shares to be issued as contemplated by the Registration Statement.</w:t>
      </w:r>
    </w:p>
    <w:p>
      <w:pPr>
        <w:spacing w:after="0" w:line="162" w:lineRule="exact"/>
        <w:rPr>
          <w:sz w:val="20"/>
          <w:szCs w:val="20"/>
          <w:color w:val="auto"/>
        </w:rPr>
      </w:pPr>
    </w:p>
    <w:p>
      <w:pPr>
        <w:ind w:left="660" w:hanging="652"/>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of the Company in issue immediately prior to the offering of Ordinary Shares have been duly authorised and are validly issued as fully paid and non-assessable.</w:t>
      </w:r>
    </w:p>
    <w:p>
      <w:pPr>
        <w:spacing w:after="0" w:line="158"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members of the Company (the “</w:t>
      </w:r>
      <w:r>
        <w:rPr>
          <w:rFonts w:ascii="Times New Roman" w:cs="Times New Roman" w:eastAsia="Times New Roman" w:hAnsi="Times New Roman"/>
          <w:sz w:val="18"/>
          <w:szCs w:val="18"/>
          <w:b w:val="1"/>
          <w:bCs w:val="1"/>
          <w:color w:val="auto"/>
        </w:rPr>
        <w:t>Members</w:t>
      </w:r>
      <w:r>
        <w:rPr>
          <w:rFonts w:ascii="Times New Roman" w:cs="Times New Roman" w:eastAsia="Times New Roman" w:hAnsi="Times New Roman"/>
          <w:sz w:val="18"/>
          <w:szCs w:val="18"/>
          <w:color w:val="auto"/>
        </w:rPr>
        <w:t>”) have not restricted or limited the powers of the directors of the Company in any way.</w:t>
      </w:r>
    </w:p>
    <w:p>
      <w:pPr>
        <w:spacing w:after="0" w:line="229" w:lineRule="exact"/>
        <w:rPr>
          <w:sz w:val="20"/>
          <w:szCs w:val="20"/>
          <w:color w:val="auto"/>
        </w:rPr>
      </w:pPr>
    </w:p>
    <w:p>
      <w:pPr>
        <w:ind w:left="660" w:hanging="652"/>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of the Company at the date of the Resolutions passed on 4 May 2026 and at the date of this certificate were and are as follows: Steven Jack Carlson, Saurav Adhikari, Diane B. Glossman, Zoe Jane Ashcroft, Rohan Malhotra and Supurna VedBrat.</w:t>
      </w:r>
    </w:p>
    <w:p>
      <w:pPr>
        <w:spacing w:after="0" w:line="162" w:lineRule="exact"/>
        <w:rPr>
          <w:sz w:val="20"/>
          <w:szCs w:val="20"/>
          <w:color w:val="auto"/>
        </w:rPr>
      </w:pPr>
    </w:p>
    <w:p>
      <w:pPr>
        <w:jc w:val="both"/>
        <w:ind w:left="660" w:hanging="652"/>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minute book and corporate records of the Company as maintained at its registered office in the British Virgin Islands and on which the Registered Agent’s Certificate were prepared are complete and accurate in all material respects, and all minutes and resolutions filed therein represent a complete and accurate record of all meetings of the members and directors (or any committee thereof) (duly convened in accordance with the Memorandum and Articles) and all resolutions passed at the meetings, or passed by written resolution or consent, as the case may be.</w:t>
      </w:r>
    </w:p>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 w:name="page10"/>
    <w:bookmarkEnd w:id="9"/>
    <w:p>
      <w:pPr>
        <w:ind w:left="660" w:hanging="652"/>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created any charges over any of its property or assets other than those entered in the Company’s register of charges maintained at its registered office.</w:t>
      </w:r>
    </w:p>
    <w:p>
      <w:pPr>
        <w:spacing w:after="0" w:line="162" w:lineRule="exact"/>
        <w:rPr>
          <w:sz w:val="20"/>
          <w:szCs w:val="20"/>
          <w:color w:val="auto"/>
        </w:rPr>
      </w:pPr>
    </w:p>
    <w:p>
      <w:pPr>
        <w:jc w:val="both"/>
        <w:ind w:left="660" w:hanging="652"/>
        <w:spacing w:after="0" w:line="258"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at the time of, and immediately following the approval of the transactions contemplated by the Registration Statement, the Company was, or will be, able to pay its debts as they fell, or fall, due and the transactions to which the Registration Statement relate will not cause the Company to become unable to pay its debts as they fall due. The Company has entered, or will enter, into the transactions contemplated by the Registration Statement for proper value and not with an intention to defraud or wilfully defeat an obligation owed to any creditor and the transactions contemplated thereby do not and will not give any creditor an unfair preference.</w:t>
      </w:r>
    </w:p>
    <w:p>
      <w:pPr>
        <w:spacing w:after="0" w:line="183"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(if any) has an interest in any land in the British Virgin Islands.</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 of the Company considers the transactions contemplated by the Registration Statement to be of commercial benefit to the Company and has acted in good faith in the best interests of the Company, and for a proper purpose of the Company, in relation to the transactions which are the subject of the Opinion.</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of my knowledge and belief, having made due inquiry, the Company is not the subject of legal, arbitral, administrative or other proceedings in any jurisdiction. Nor have the Directors and/or the Member taken any steps to have the Company struck off or placed in liquidation, nor have any steps been taken to wind up the Company. Nor has any receiver been appointed over any of the Company’s property or assets.</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at no time had employees.</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of my knowledge and belief, having made due inquiry, there are no circumstances or matters of fact existing which may properly form the basis for an application for an order for rectification of the register of members of the Company.</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has been, or will be, authorised and duly executed and delivered by or on behalf of all relevant parties in accordance with all relevant laws.</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invitation has been made or will be made by or on behalf of the Company to the public in the British Virgin Islands to subscribe for any of the Ordinary Shares.</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to be issued pursuant to the Registration Statement have been, or will be, duly registered, and will continue to be registered, in the Company’s register of members.</w:t>
      </w:r>
    </w:p>
    <w:p>
      <w:pPr>
        <w:spacing w:after="0" w:line="16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 central bank, monetary authority or other sovereign entity of any state and is not a subsidiary, direct or indirect, of any sovereign entity or state.</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contractual or other prohibition or restriction (other than as arising under British Virgin Islands law) binding on the Company prohibiting or restricting it from entering into and performing its obligations under the SPA.</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 w:name="page11"/>
    <w:bookmarkEnd w:id="10"/>
    <w:p>
      <w:pPr>
        <w:ind w:right="20"/>
        <w:spacing w:after="0" w:line="282" w:lineRule="auto"/>
        <w:rPr>
          <w:sz w:val="20"/>
          <w:szCs w:val="20"/>
          <w:color w:val="auto"/>
        </w:rPr>
      </w:pPr>
      <w:r>
        <w:rPr>
          <w:rFonts w:ascii="Times New Roman" w:cs="Times New Roman" w:eastAsia="Times New Roman" w:hAnsi="Times New Roman"/>
          <w:sz w:val="18"/>
          <w:szCs w:val="18"/>
          <w:color w:val="auto"/>
        </w:rPr>
        <w:t>I confirm that you may continue to rely on this certificate as being true and correct on the day that you issue the Opinion unless I shall have previously notified you in writing personally to the contrary.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26035</wp:posOffset>
            </wp:positionV>
            <wp:extent cx="299148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2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Director</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 w:name="page12"/>
    <w:bookmarkEnd w:id="11"/>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PLACEMENT AGENCY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May 4,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Roadzen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111 Anza Blvd, Suite 109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Burlingame, California 94010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Mr. Rohan Malhotra:</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placement agency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constitutes the agreement between Maxim Group LLC (“</w:t>
      </w:r>
      <w:r>
        <w:rPr>
          <w:rFonts w:ascii="Times New Roman" w:cs="Times New Roman" w:eastAsia="Times New Roman" w:hAnsi="Times New Roman"/>
          <w:sz w:val="18"/>
          <w:szCs w:val="18"/>
          <w:u w:val="single" w:color="auto"/>
          <w:color w:val="auto"/>
        </w:rPr>
        <w:t>Maxim</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Placement Agent</w:t>
      </w:r>
      <w:r>
        <w:rPr>
          <w:rFonts w:ascii="Times New Roman" w:cs="Times New Roman" w:eastAsia="Times New Roman" w:hAnsi="Times New Roman"/>
          <w:sz w:val="18"/>
          <w:szCs w:val="18"/>
          <w:color w:val="auto"/>
        </w:rPr>
        <w:t>”) and Roadzen Inc., a British Virgin Islands business company (together with its subsidiaries,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that Maxim shall serve as the exclusive placement agent for the Company, on a “reasonable best efforts” basis, for the proposed placement to certain purchasers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 of (i) up to an aggregate amount of $8 million of ordinary shares, par value $0.0001 per share (the “</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of the Company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at a purchase price of $1.70 per Share . The documents executed and delivered by the Company and the Purchasers in connection with the Offering (as defined below), including, without limitation, a securities purchase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shall be collectively referred to herein as the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 The Placement Agent may retain other brokers or dealers to act as sub-agents or selected-dealers on its behalf in connection with the Offering.</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anything herein to the contrary, in the event that the Placement Agent determines that any of the terms provided for hereunder do not comply with a rule of the Financial Industry Regulatory Authority (“</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including but not limited to FINRA Rule 5110, then the Company shall agree to amend this Agreement in writing upon the request of the Placement Agent to comply with any such rules; provided that any such amendments shall not provide for terms that are less favorable to the Company than the terms of this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 Agreement to Act as Placement Agent.</w:t>
      </w:r>
    </w:p>
    <w:p>
      <w:pPr>
        <w:spacing w:after="0" w:line="229" w:lineRule="exact"/>
        <w:rPr>
          <w:sz w:val="20"/>
          <w:szCs w:val="20"/>
          <w:color w:val="auto"/>
        </w:rPr>
      </w:pPr>
    </w:p>
    <w:p>
      <w:pPr>
        <w:jc w:val="both"/>
        <w:ind w:firstLine="656"/>
        <w:spacing w:after="0" w:line="252" w:lineRule="auto"/>
        <w:tabs>
          <w:tab w:leader="none" w:pos="89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basis of the representations, warranties and agreements of the Company herein contained, and subject to all the terms and conditions of this Agreement, the Placement Agent shall be the exclusive placement agent in connection with the offering and sale by the Company of the Shares pursuant to the Company’s registration statement on Form S-3, as amended (File No. 333-282966)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with the terms of such offering (the “</w:t>
      </w:r>
      <w:r>
        <w:rPr>
          <w:rFonts w:ascii="Times New Roman" w:cs="Times New Roman" w:eastAsia="Times New Roman" w:hAnsi="Times New Roman"/>
          <w:sz w:val="18"/>
          <w:szCs w:val="18"/>
          <w:u w:val="single" w:color="auto"/>
          <w:color w:val="auto"/>
        </w:rPr>
        <w:t>Offering</w:t>
      </w:r>
      <w:r>
        <w:rPr>
          <w:rFonts w:ascii="Times New Roman" w:cs="Times New Roman" w:eastAsia="Times New Roman" w:hAnsi="Times New Roman"/>
          <w:sz w:val="18"/>
          <w:szCs w:val="18"/>
          <w:color w:val="auto"/>
        </w:rPr>
        <w:t>”) to be subject to market conditions and negotiations between the Company, the Placement Agent and the prospective Purchasers. The Placement Agent will act on a reasonable best efforts basis and the Company agrees and acknowledges that there is no guarantee of the successful placement of the Securities, or any portion thereof, in the prospective Offering. Under no circumstances will the Placement Agent or any of its Affiliates (as defined below) be obligated to underwrite or purchase any of the Shares for its own account or otherwise provide any financing. The Placement Agent shall act solely as the Company’s agent and not as principal. The Placement Agent shall have no authority to bind the Company with respect to any prospective offer to purchase the Shares and the Company shall have the sole right to accept offers to purchase the Shares and may reject any such offer, in whole or in part. Subject to the terms and conditions hereof, payment of the purchase price for, and delivery of, the Shares shall be made at the closing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and the date on which the Closing occurs,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The Closing shall occur via “Delivery Versus Payment” (“</w:t>
      </w:r>
      <w:r>
        <w:rPr>
          <w:rFonts w:ascii="Times New Roman" w:cs="Times New Roman" w:eastAsia="Times New Roman" w:hAnsi="Times New Roman"/>
          <w:sz w:val="18"/>
          <w:szCs w:val="18"/>
          <w:u w:val="single" w:color="auto"/>
          <w:color w:val="auto"/>
        </w:rPr>
        <w:t>DVP</w:t>
      </w:r>
      <w:r>
        <w:rPr>
          <w:rFonts w:ascii="Times New Roman" w:cs="Times New Roman" w:eastAsia="Times New Roman" w:hAnsi="Times New Roman"/>
          <w:sz w:val="18"/>
          <w:szCs w:val="18"/>
          <w:color w:val="auto"/>
        </w:rPr>
        <w:t>”), i.e., on the Closing Date, the Company shall issue the Shares directly to the account designated by the Placement Agent and, upon receipt of such Shares, the Placement Agent shall cause the Shares to be electronically delivered to the applicable Purchaser and payment shall be made by the Placement Agent (or their clearing firm) by wire transfer to the Company, and delivery of the Shares shall be delivered via The Depository Trust Company Deposit or Withdrawal at Custodian system for the account of the applicable Purchaser as set forth in the Purchase Agreement. As compensation for services rendered, the Company shall pay to the Placement Agent the fees and expenses set forth below:</w:t>
      </w:r>
    </w:p>
    <w:p>
      <w:pPr>
        <w:spacing w:after="0" w:line="195" w:lineRule="exact"/>
        <w:rPr>
          <w:sz w:val="20"/>
          <w:szCs w:val="20"/>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fee equal to 6.0% of the gross proceeds received by the Company from the sale of the Shares at the Closing;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 w:name="page13"/>
    <w:bookmarkEnd w:id="12"/>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of the Placement Agent’s accountable expenses, including the Placement Agent’s legal counsel’s legal fees, up to $30,000.</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Placement Agent reserves the right to reduce any item of compensation or adjust the terms thereof as specified herein in the event that a determination shall be made by FINRA to the effect that the Placement Agent’s aggregate compensation is in excess of FINRA Rules or that the terms thereof require adjustment, provided that any such adjustments shall not provide for terms that are less favorable to the Company than the terms of this Agreement.</w:t>
      </w:r>
    </w:p>
    <w:p>
      <w:pPr>
        <w:spacing w:after="0" w:line="180" w:lineRule="exact"/>
        <w:rPr>
          <w:sz w:val="20"/>
          <w:szCs w:val="20"/>
          <w:color w:val="auto"/>
        </w:rPr>
      </w:pPr>
    </w:p>
    <w:p>
      <w:pPr>
        <w:jc w:val="both"/>
        <w:ind w:firstLine="656"/>
        <w:spacing w:after="0" w:line="255" w:lineRule="auto"/>
        <w:tabs>
          <w:tab w:leader="none" w:pos="91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Placement Agent’s engagement hereunder shall become effective on the date hereof and shall continue until the earlier of (i) the Closing Date of the Offering and (ii) May 8, 2026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xml:space="preserve">”). Notwithstanding anything to the contrary contained herein, the provisions concerning confidentiality, indemnification and contribution contained herein and the Company’s obligations contained in the indemnification provisions will survive any expiration or termination of this Agreement, and the Company’s obligation to pay fees actually earned and payable and to reimburse expenses actually incurred and reimbursable pursuant to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hereof and which are permitted to be reimbursed under the FINRA Rules, will survive any expiration or termination of this Agreement. All such fees and reimbursements due shall be paid to the Placement Agent on or before the Termination Date (in the event such fees and reimbursements are earned or owed as of the Termination Date) or upon the closing of the Offering.</w:t>
      </w:r>
    </w:p>
    <w:p>
      <w:pPr>
        <w:spacing w:after="0" w:line="188" w:lineRule="exact"/>
        <w:rPr>
          <w:rFonts w:ascii="Times New Roman" w:cs="Times New Roman" w:eastAsia="Times New Roman" w:hAnsi="Times New Roman"/>
          <w:sz w:val="18"/>
          <w:szCs w:val="18"/>
          <w:color w:val="auto"/>
        </w:rPr>
      </w:pPr>
    </w:p>
    <w:p>
      <w:pPr>
        <w:jc w:val="both"/>
        <w:ind w:firstLine="656"/>
        <w:spacing w:after="0" w:line="256" w:lineRule="auto"/>
        <w:tabs>
          <w:tab w:leader="none" w:pos="89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Agreement shall be construed to limit the ability of the Placement Agent or its Affiliates to pursue, investigate, analyze, invest in, or engage in investment banking, financial advisory or any other business relationship with Persons (as defined below) other than the Company. As used herein (i) “</w:t>
      </w:r>
      <w:r>
        <w:rPr>
          <w:rFonts w:ascii="Times New Roman" w:cs="Times New Roman" w:eastAsia="Times New Roman" w:hAnsi="Times New Roman"/>
          <w:sz w:val="18"/>
          <w:szCs w:val="18"/>
          <w:u w:val="single" w:color="auto"/>
          <w:color w:val="auto"/>
        </w:rPr>
        <w:t>Persons</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 and (ii)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2. Representations, Warranties and Covenants of the Company</w:t>
      </w:r>
      <w:r>
        <w:rPr>
          <w:rFonts w:ascii="Times New Roman" w:cs="Times New Roman" w:eastAsia="Times New Roman" w:hAnsi="Times New Roman"/>
          <w:sz w:val="18"/>
          <w:szCs w:val="18"/>
          <w:color w:val="auto"/>
        </w:rPr>
        <w:t>. The Company hereby represents, warrants and covenants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Placement Agent as of the date hereof, and as of the Closing Date, unless such representation, warranty or agreement specifies a different date or time, as follows:</w:t>
      </w:r>
    </w:p>
    <w:p>
      <w:pPr>
        <w:spacing w:after="0" w:line="175" w:lineRule="exact"/>
        <w:rPr>
          <w:sz w:val="20"/>
          <w:szCs w:val="20"/>
          <w:color w:val="auto"/>
        </w:rPr>
      </w:pPr>
    </w:p>
    <w:p>
      <w:pPr>
        <w:jc w:val="both"/>
        <w:ind w:firstLine="656"/>
        <w:spacing w:after="0" w:line="252" w:lineRule="auto"/>
        <w:tabs>
          <w:tab w:leader="none" w:pos="90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Law Filings</w:t>
      </w:r>
      <w:r>
        <w:rPr>
          <w:rFonts w:ascii="Times New Roman" w:cs="Times New Roman" w:eastAsia="Times New Roman" w:hAnsi="Times New Roman"/>
          <w:sz w:val="18"/>
          <w:szCs w:val="18"/>
          <w:color w:val="auto"/>
        </w:rPr>
        <w:t>. The Company has prepared and filed with the U.S.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the Registration Statement, including the prospectus contained therein, including any documents incorporated by reference therein (the “</w:t>
      </w:r>
      <w:r>
        <w:rPr>
          <w:rFonts w:ascii="Times New Roman" w:cs="Times New Roman" w:eastAsia="Times New Roman" w:hAnsi="Times New Roman"/>
          <w:sz w:val="18"/>
          <w:szCs w:val="18"/>
          <w:u w:val="single" w:color="auto"/>
          <w:color w:val="auto"/>
        </w:rPr>
        <w:t>Base Prospectus</w:t>
      </w:r>
      <w:r>
        <w:rPr>
          <w:rFonts w:ascii="Times New Roman" w:cs="Times New Roman" w:eastAsia="Times New Roman" w:hAnsi="Times New Roman"/>
          <w:sz w:val="18"/>
          <w:szCs w:val="18"/>
          <w:color w:val="auto"/>
        </w:rPr>
        <w:t>”), for the registration under the Securities Act of the Shares. The Registration Statement was declared effective by the Commission on November 12, 2024. At the time of such filing, the Company met the requirements of Form S-3 under the Securities Act. The Registration Statement meets the requirements set forth in Rule 415(a)(1)(x) under the Securities Act and complies with said Rule. The Company will file with the Commission pursuant to Rule 424(b) under the Securities Act, and the rules and regulations (the “</w:t>
      </w:r>
      <w:r>
        <w:rPr>
          <w:rFonts w:ascii="Times New Roman" w:cs="Times New Roman" w:eastAsia="Times New Roman" w:hAnsi="Times New Roman"/>
          <w:sz w:val="18"/>
          <w:szCs w:val="18"/>
          <w:u w:val="single" w:color="auto"/>
          <w:color w:val="auto"/>
        </w:rPr>
        <w:t>Rules and Regulations</w:t>
      </w:r>
      <w:r>
        <w:rPr>
          <w:rFonts w:ascii="Times New Roman" w:cs="Times New Roman" w:eastAsia="Times New Roman" w:hAnsi="Times New Roman"/>
          <w:sz w:val="18"/>
          <w:szCs w:val="18"/>
          <w:color w:val="auto"/>
        </w:rPr>
        <w:t>”) of the Commission promulgated thereunder, a prospectus supplement (the “</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to the Base Prospectus relating to the placement of the Shares and the plan of distribution thereof and has advised the Placement Agent of all further information (financial and other) with respect to the Company required to be set forth therein. Any reference in this Agreement to the Registration Statement, the Base Prospectus or the Prospectus Supplement shall be deemed to refer to and include the documents incorporated by reference therein (the “</w:t>
      </w:r>
      <w:r>
        <w:rPr>
          <w:rFonts w:ascii="Times New Roman" w:cs="Times New Roman" w:eastAsia="Times New Roman" w:hAnsi="Times New Roman"/>
          <w:sz w:val="18"/>
          <w:szCs w:val="18"/>
          <w:u w:val="single" w:color="auto"/>
          <w:color w:val="auto"/>
        </w:rPr>
        <w:t>Incorporated Documents</w:t>
      </w:r>
      <w:r>
        <w:rPr>
          <w:rFonts w:ascii="Times New Roman" w:cs="Times New Roman" w:eastAsia="Times New Roman" w:hAnsi="Times New Roman"/>
          <w:sz w:val="18"/>
          <w:szCs w:val="18"/>
          <w:color w:val="auto"/>
        </w:rPr>
        <w:t>”) pursuant to Item 12 of Form S-3 which were filed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on or before the date of this Agreement, or the issue date of the Base Prospectus or the Prospectus Supplement, as the case may be; and any reference in this Agreement to the terms “amend,” “amendment” or “supplement” with respect to the Registration Statement, the Base Prospectus or the Prospectus Supplement shall be deemed to refer to and include the filing of any document under the Exchange Act after the date of this Agreement, or the issue date of the Base Prospectus or the Prospectus Supplement, as the case may be, deemed to be incorporated therein by reference. All references in this Agreement to financial statements and schedules and other information which is “contained,” “included,” “described,” “referenced,” “set forth” or “stated” in the Registration Statement, the Base Prospectus or the Prospectus Supplement (and all other references of like import) shall be deemed to mean and include all such financial statements and schedules and other information which is or is deemed to be incorporated by reference in the Registration Statement, the Base Prospectus or the Prospectus Supplement, as the case may be. The Company has not received any notice that the Commission has issued or intends to issue a stop order suspending the effectiveness of the Registration Statement or the use of the Base Prospectus or the Prospectus Supplement, and no proceeding for any such purpose is pending or has been initiated or, to the Company’s knowledge, is threatened by the Commission. For purposes of this Agreement, “</w:t>
      </w:r>
      <w:r>
        <w:rPr>
          <w:rFonts w:ascii="Times New Roman" w:cs="Times New Roman" w:eastAsia="Times New Roman" w:hAnsi="Times New Roman"/>
          <w:sz w:val="18"/>
          <w:szCs w:val="18"/>
          <w:u w:val="single" w:color="auto"/>
          <w:color w:val="auto"/>
        </w:rPr>
        <w:t>Free Writing Prospectus</w:t>
      </w:r>
      <w:r>
        <w:rPr>
          <w:rFonts w:ascii="Times New Roman" w:cs="Times New Roman" w:eastAsia="Times New Roman" w:hAnsi="Times New Roman"/>
          <w:sz w:val="18"/>
          <w:szCs w:val="18"/>
          <w:color w:val="auto"/>
        </w:rPr>
        <w:t>” has the meaning set forth in Rule 405 under the Securities Act.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 w:name="page14"/>
    <w:bookmarkEnd w:id="13"/>
    <w:p>
      <w:pPr>
        <w:jc w:val="both"/>
        <w:ind w:firstLine="656"/>
        <w:spacing w:after="0" w:line="252" w:lineRule="auto"/>
        <w:tabs>
          <w:tab w:leader="none" w:pos="91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Assurances</w:t>
      </w:r>
      <w:r>
        <w:rPr>
          <w:rFonts w:ascii="Times New Roman" w:cs="Times New Roman" w:eastAsia="Times New Roman" w:hAnsi="Times New Roman"/>
          <w:sz w:val="18"/>
          <w:szCs w:val="18"/>
          <w:color w:val="auto"/>
        </w:rPr>
        <w:t>. The Registration Statement (and any further documents to be filed with the Commission) contains all exhibits and schedules as required by the Securities Act. Each of the Registration Statement and any post- effective amendment thereto, at the time it became effective, complied in all material respects with the Securities Act and the Exchange Act and the applicable Rules and Regulations and did not and, as amended or supplemented, if applicable, will not, contain any untrue statement of a material fact or omit to state a material fact required to be stated therein or necessary to make the statements therein not misleading. The Base Prospectus and the Prospectus Supplement, each as of its respective date, comply in all material respects with the Securities Act and the Exchange Act and the applicable Rules and Regulations. Each of the Base Prospectus, and the Prospectus Supplement, as amended or supplemented, did not and will not contain as of the date thereof any untrue statement of a material fact or omit to state a material fact necessary in order to make the statements therein, in the light of the circumstances under which they were made, not misleading. The Incorporated Documents, when they were filed with the Commission, conformed in all material respects to the requirements of the Exchange Act and the applicable Rules and Regulations, and none of such documents, when they were filed with the Commission, contained any untrue statement of a material fact or omitted to state a material fact necessary to make the statements therein (with respect to Incorporated Documents incorporated by reference in the Base Prospectus or Prospectus Supplement), in the light of the circumstances under which they were made not misleading; and any further documents so filed and incorporated by reference in the Base Prospectus, or Prospectus Supplement, when such documents are filed with the Commission, will conform in all material respects to the requirements of the Exchange Act and the applicable Rules and Regulations, as applicable, and will not contain any untrue statement of a material fact or omit to state a material fact necessary to make the statements therein, in the light of the circumstances under which they were made, not misleading. No post- effective amendment to the Registration Statement reflecting any facts or events arising after the date thereof which represent, individually or in the aggregate, a fundamental change in the information set forth therein is required to be filed with the Commission. There are no documents required to be filed with the Commission in connection with the transaction contemplated hereby that (x) have not been filed as required pursuant to the Securities Act or (y) will not be filed within the requisite time period. There are no contracts or other documents required to be described in the Base Prospectus, or Prospectus Supplement, or to be filed as exhibits or schedules to the Registration Statement, which (x) have not been described or filed as required or (y) will not be filed within the requisite time period.</w:t>
      </w:r>
    </w:p>
    <w:p>
      <w:pPr>
        <w:spacing w:after="0" w:line="187" w:lineRule="exact"/>
        <w:rPr>
          <w:rFonts w:ascii="Times New Roman" w:cs="Times New Roman" w:eastAsia="Times New Roman" w:hAnsi="Times New Roman"/>
          <w:sz w:val="18"/>
          <w:szCs w:val="18"/>
          <w:color w:val="auto"/>
        </w:rPr>
      </w:pPr>
    </w:p>
    <w:p>
      <w:pPr>
        <w:ind w:firstLine="656"/>
        <w:spacing w:after="0" w:line="282" w:lineRule="auto"/>
        <w:tabs>
          <w:tab w:leader="none" w:pos="90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Offering Materials</w:t>
      </w:r>
      <w:r>
        <w:rPr>
          <w:rFonts w:ascii="Times New Roman" w:cs="Times New Roman" w:eastAsia="Times New Roman" w:hAnsi="Times New Roman"/>
          <w:sz w:val="18"/>
          <w:szCs w:val="18"/>
          <w:color w:val="auto"/>
        </w:rPr>
        <w:t>. Neither the Company nor any of its directors and officers has distributed and none of them will distribute, prior to the Closing Date, any offering material in connection with the offering and sale of the Shares.</w:t>
      </w:r>
    </w:p>
    <w:p>
      <w:pPr>
        <w:spacing w:after="0" w:line="161" w:lineRule="exact"/>
        <w:rPr>
          <w:rFonts w:ascii="Times New Roman" w:cs="Times New Roman" w:eastAsia="Times New Roman" w:hAnsi="Times New Roman"/>
          <w:sz w:val="18"/>
          <w:szCs w:val="18"/>
          <w:color w:val="auto"/>
        </w:rPr>
      </w:pPr>
    </w:p>
    <w:p>
      <w:pPr>
        <w:jc w:val="both"/>
        <w:ind w:firstLine="656"/>
        <w:spacing w:after="0" w:line="256" w:lineRule="auto"/>
        <w:tabs>
          <w:tab w:leader="none" w:pos="91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Enforcement</w:t>
      </w:r>
      <w:r>
        <w:rPr>
          <w:rFonts w:ascii="Times New Roman" w:cs="Times New Roman" w:eastAsia="Times New Roman" w:hAnsi="Times New Roman"/>
          <w:sz w:val="18"/>
          <w:szCs w:val="18"/>
          <w:color w:val="auto"/>
        </w:rPr>
        <w:t>. The Company has the requisite corporate power and authority to enter into this Agreement and perform the transactions contemplated hereby. This Agreement has been duly executed by the Company and, when delivered in accordance with the terms 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87" w:lineRule="exact"/>
        <w:rPr>
          <w:rFonts w:ascii="Times New Roman" w:cs="Times New Roman" w:eastAsia="Times New Roman" w:hAnsi="Times New Roman"/>
          <w:sz w:val="18"/>
          <w:szCs w:val="18"/>
          <w:color w:val="auto"/>
        </w:rPr>
      </w:pPr>
    </w:p>
    <w:p>
      <w:pPr>
        <w:jc w:val="both"/>
        <w:ind w:firstLine="656"/>
        <w:spacing w:after="0" w:line="252" w:lineRule="auto"/>
        <w:tabs>
          <w:tab w:leader="none" w:pos="89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by the Company of this Agreement, the Transaction Documents and the transactions contemplated pursuant to the Prospectus Supplement, the issuance and sale of the Shares and the consummation by it of the transactions contemplated hereby and thereby to which it is a party do not and will not (i) conflict with or violate any provision of the Company’s, or any of its subsidiaries’, certificate or articles of incorporation, bylaws or other organizational or charter documents, (ii) conflict with, or constitute a default (or an event that with notice or lapse of time or both would become a default) under, result in the creation of any lien, charge, pledge, security interest, encumbrance, right of first refusal (except as disclosed in the Registration Statement and Prospectus), preemptive right or other restriction upon any of the properties or assets of the Company, or give to others any rights of termination, amendment, acceleration or cancellation (with or without notice, lapse of time or both) of, any agreement, credit facility, debt or other instrument (evidencing a debt or otherwise) or other understanding to which the Company is a party or by which any property or asset of the Company is bound or affected, or (iii) subject to any required approvals, conflict with or result in a violation of any law, rule, regulation, order, judgment, injunction, decree or other restriction of any court or governmental authority to which the Company is subject (including federal and state securities laws and regulations), or by which any property or asset of the Company is bound or affected; except in the case of each of clauses (ii) and (iii), such as would not reasonably be expected to result in a material adverse effect on: (x) the legality, validity or enforceability of any Transaction Document; (y) the results of operations, assets, business, prospects or condition (financial or otherwise) of the Company; or (z) the Company’s ability to perform in any material respect on a timely basis its obligations under any Transaction Document (any of (x), (y), or (z), a “</w:t>
      </w:r>
      <w:r>
        <w:rPr>
          <w:rFonts w:ascii="Times New Roman" w:cs="Times New Roman" w:eastAsia="Times New Roman" w:hAnsi="Times New Roman"/>
          <w:sz w:val="18"/>
          <w:szCs w:val="18"/>
          <w:u w:val="single" w:color="auto"/>
          <w:color w:val="auto"/>
        </w:rPr>
        <w:t>Material Adverse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Effect</w:t>
      </w:r>
      <w:r>
        <w:rPr>
          <w:rFonts w:ascii="Times New Roman" w:cs="Times New Roman" w:eastAsia="Times New Roman" w:hAnsi="Times New Roman"/>
          <w:sz w:val="18"/>
          <w:szCs w:val="18"/>
          <w:color w:val="auto"/>
        </w:rPr>
        <w: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 w:name="page15"/>
    <w:bookmarkEnd w:id="14"/>
    <w:p>
      <w:pPr>
        <w:ind w:firstLine="656"/>
        <w:spacing w:after="0" w:line="282" w:lineRule="auto"/>
        <w:tabs>
          <w:tab w:leader="none" w:pos="88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Reliance</w:t>
      </w:r>
      <w:r>
        <w:rPr>
          <w:rFonts w:ascii="Times New Roman" w:cs="Times New Roman" w:eastAsia="Times New Roman" w:hAnsi="Times New Roman"/>
          <w:sz w:val="18"/>
          <w:szCs w:val="18"/>
          <w:color w:val="auto"/>
        </w:rPr>
        <w:t>. The Company has not relied upon the Placement Agent or legal counsel for the Placement Agent for any legal, tax or accounting advice in connection with the offering and sale of the Shares.</w:t>
      </w:r>
    </w:p>
    <w:p>
      <w:pPr>
        <w:spacing w:after="0" w:line="161" w:lineRule="exact"/>
        <w:rPr>
          <w:rFonts w:ascii="Times New Roman" w:cs="Times New Roman" w:eastAsia="Times New Roman" w:hAnsi="Times New Roman"/>
          <w:sz w:val="18"/>
          <w:szCs w:val="18"/>
          <w:color w:val="auto"/>
        </w:rPr>
      </w:pPr>
    </w:p>
    <w:p>
      <w:pPr>
        <w:jc w:val="both"/>
        <w:ind w:firstLine="656"/>
        <w:spacing w:after="0" w:line="255" w:lineRule="auto"/>
        <w:tabs>
          <w:tab w:leader="none" w:pos="90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Forward-Looking Statements</w:t>
      </w:r>
      <w:r>
        <w:rPr>
          <w:rFonts w:ascii="Times New Roman" w:cs="Times New Roman" w:eastAsia="Times New Roman" w:hAnsi="Times New Roman"/>
          <w:sz w:val="18"/>
          <w:szCs w:val="18"/>
          <w:color w:val="auto"/>
        </w:rPr>
        <w:t>. No forward-looking statement (within the meaning of Section 27A of the Securities Act and Section 21E of the Exchange Act (“</w:t>
      </w:r>
      <w:r>
        <w:rPr>
          <w:rFonts w:ascii="Times New Roman" w:cs="Times New Roman" w:eastAsia="Times New Roman" w:hAnsi="Times New Roman"/>
          <w:sz w:val="18"/>
          <w:szCs w:val="18"/>
          <w:u w:val="single" w:color="auto"/>
          <w:color w:val="auto"/>
        </w:rPr>
        <w:t>Forward-Looking Statement</w:t>
      </w:r>
      <w:r>
        <w:rPr>
          <w:rFonts w:ascii="Times New Roman" w:cs="Times New Roman" w:eastAsia="Times New Roman" w:hAnsi="Times New Roman"/>
          <w:sz w:val="18"/>
          <w:szCs w:val="18"/>
          <w:color w:val="auto"/>
        </w:rPr>
        <w:t>”) contained in the Prospectus Supplement has been made or reaffirmed without a reasonable basis or has been disclosed other than in good faith. The Forward-Looking Statements incorporated by reference in the Registration Statement and the Prospectus (i) are within the coverage of the safe harbor for Forward Looking Statements set forth in Section 27A of the Securities Act, Rule 175(b) under the Securities Act or Rule 3b-6 under the Exchange Act, as applicable, (ii) were made by the Company with a reasonable basis and in good faith and reflect the Company’s good faith commercially reasonable best estimate of the matters described therein, and (iii) have been prepared in accordance with Item 10 of Regulation S-K under the Securities Act.</w:t>
      </w:r>
    </w:p>
    <w:p>
      <w:pPr>
        <w:spacing w:after="0" w:line="188" w:lineRule="exact"/>
        <w:rPr>
          <w:rFonts w:ascii="Times New Roman" w:cs="Times New Roman" w:eastAsia="Times New Roman" w:hAnsi="Times New Roman"/>
          <w:sz w:val="18"/>
          <w:szCs w:val="18"/>
          <w:color w:val="auto"/>
        </w:rPr>
      </w:pPr>
    </w:p>
    <w:p>
      <w:pPr>
        <w:jc w:val="both"/>
        <w:ind w:firstLine="656"/>
        <w:spacing w:after="0" w:line="266" w:lineRule="auto"/>
        <w:tabs>
          <w:tab w:leader="none" w:pos="91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Incorporated by Reference</w:t>
      </w:r>
      <w:r>
        <w:rPr>
          <w:rFonts w:ascii="Times New Roman" w:cs="Times New Roman" w:eastAsia="Times New Roman" w:hAnsi="Times New Roman"/>
          <w:sz w:val="18"/>
          <w:szCs w:val="18"/>
          <w:color w:val="auto"/>
        </w:rPr>
        <w:t>. Each of the representations and warranties (together with any related disclosure schedules thereto) made by the Company to the Purchasers in the Purchase Agreement is hereby incorporated herein by reference (as though fully restated herein) and is hereby made to, and in favor of, the Placement Agent.</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86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FINRA Affiliations</w:t>
      </w:r>
      <w:r>
        <w:rPr>
          <w:rFonts w:ascii="Times New Roman" w:cs="Times New Roman" w:eastAsia="Times New Roman" w:hAnsi="Times New Roman"/>
          <w:sz w:val="18"/>
          <w:szCs w:val="18"/>
          <w:color w:val="auto"/>
        </w:rPr>
        <w:t>. To the Company’s best knowledge, there are no affiliations with any FINRA member firm among the Company’s officers, directors or, to the knowledge of the Company, any 10.0% or greater stockholder of the Company.</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Section 3. Delivery and Payment</w:t>
      </w:r>
      <w:r>
        <w:rPr>
          <w:rFonts w:ascii="Times New Roman" w:cs="Times New Roman" w:eastAsia="Times New Roman" w:hAnsi="Times New Roman"/>
          <w:sz w:val="18"/>
          <w:szCs w:val="18"/>
          <w:color w:val="auto"/>
        </w:rPr>
        <w:t>. The Closing shall occur at the offices of Thompson Hine LLP, located at 300 Madison Avenue, New York,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York 10017 (“</w:t>
      </w:r>
      <w:r>
        <w:rPr>
          <w:rFonts w:ascii="Times New Roman" w:cs="Times New Roman" w:eastAsia="Times New Roman" w:hAnsi="Times New Roman"/>
          <w:sz w:val="18"/>
          <w:szCs w:val="18"/>
          <w:u w:val="single" w:color="auto"/>
          <w:color w:val="auto"/>
        </w:rPr>
        <w:t>Placement Agent Counsel</w:t>
      </w:r>
      <w:r>
        <w:rPr>
          <w:rFonts w:ascii="Times New Roman" w:cs="Times New Roman" w:eastAsia="Times New Roman" w:hAnsi="Times New Roman"/>
          <w:sz w:val="18"/>
          <w:szCs w:val="18"/>
          <w:color w:val="auto"/>
        </w:rPr>
        <w:t>”) (or at such other place as shall be agreed upon by the Placement Agent and the Company, including remotely via electronic transmission). Subject to the terms and conditions hereof and of the Purchase Agreement, at the Closing, payment of the purchase price for the Shares sold on such Closing Date shall be made by Federal Funds wire transfer, against delivery of such Shares, and such Shares shall be registered in such name or names and shall be in such denominations, as the Placement Agent may request at least one business day before the Closing Date. Deliveries of the documents with respect to the purchase of the Shares, if any, shall be made at the offices of Placement Agent Counsel. All actions taken at the Closing shall be deemed to have occurred simultaneously.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4. Covenants and Agreements of the Company</w:t>
      </w:r>
      <w:r>
        <w:rPr>
          <w:rFonts w:ascii="Times New Roman" w:cs="Times New Roman" w:eastAsia="Times New Roman" w:hAnsi="Times New Roman"/>
          <w:sz w:val="18"/>
          <w:szCs w:val="18"/>
          <w:color w:val="auto"/>
        </w:rPr>
        <w:t>. The Company further covenants and agrees with the Placement Agent as follows:</w:t>
      </w:r>
    </w:p>
    <w:p>
      <w:pPr>
        <w:spacing w:after="0" w:line="229" w:lineRule="exact"/>
        <w:rPr>
          <w:sz w:val="20"/>
          <w:szCs w:val="20"/>
          <w:color w:val="auto"/>
        </w:rPr>
      </w:pPr>
    </w:p>
    <w:p>
      <w:pPr>
        <w:jc w:val="both"/>
        <w:ind w:firstLine="656"/>
        <w:spacing w:after="0" w:line="252" w:lineRule="auto"/>
        <w:tabs>
          <w:tab w:leader="none" w:pos="89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Matters</w:t>
      </w:r>
      <w:r>
        <w:rPr>
          <w:rFonts w:ascii="Times New Roman" w:cs="Times New Roman" w:eastAsia="Times New Roman" w:hAnsi="Times New Roman"/>
          <w:sz w:val="18"/>
          <w:szCs w:val="18"/>
          <w:color w:val="auto"/>
        </w:rPr>
        <w:t>. The Company will advise the Placement Agent promptly after it receives notice thereof of the time when any amendment to the Registration Statement has been filed or becomes effective or any supplement to the Prospectus Supplement has been filed and will furnish the Placement Agent with copies thereof. The Company will file promptly all reports and any definitive proxy or information statements required to be filed by the Company with the Commission pursuant to Section 13(a), 14 or 15(d) of the Exchange Act subsequent to the date of the Prospectus Supplement and for so long as the delivery of a prospectus is required in connection with the Offering. The Company will advise the Placement Agent, promptly after it receives notice thereof (i) of any request by the Commission to amend the Registration Statement or to amend or supplement the Prospectus Supplement or for additional information, and (ii) of the issuance by the Commission of any stop order suspending the effectiveness of the Registration Statement or any post-effective amendment thereto or any order directed at any Incorporated Document, if any, or any amendment or supplement thereto or any order preventing or suspending the use of the Preliminary Prospectus or the Prospectus Supplement or any prospectus supplement or any amendment or supplement thereto or any post-effective amendment to the Registration Statement, of the suspension of the qualification of the Shares for offering or sale in any jurisdiction, of the institution or threatened institution of any proceeding for any such purpose, or of any request by the Commission for the amending or supplementing of the Registration Statement or the Prospectus Supplement or for additional information. The Company shall use its best efforts to prevent the issuance of any such stop order or prevention or suspension of such use. If the Commission shall enter any such stop order or order or notice of prevention or suspension at any time, the Company will use its best efforts to obtain the lifting of such order at the earliest possible moment, or will file a new registration statement and use its best efforts to have such new registration statement declared effective as soon as practicable. Additionally, the Company agrees that it shall comply with the provisions of Rules 424(b), 430A, 430B and 430C, as applicable, under the Securities Act, including with respect to the timely filing of documents thereunder, and will use its reasonable efforts to confirm that any filings made by the Company under such Rule 424(b) are received in a timely manner by the Commission.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jc w:val="both"/>
        <w:ind w:firstLine="656"/>
        <w:spacing w:after="0" w:line="253" w:lineRule="auto"/>
        <w:tabs>
          <w:tab w:leader="none" w:pos="90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Blue Sky Compliance</w:t>
      </w:r>
      <w:r>
        <w:rPr>
          <w:rFonts w:ascii="Times New Roman" w:cs="Times New Roman" w:eastAsia="Times New Roman" w:hAnsi="Times New Roman"/>
          <w:sz w:val="18"/>
          <w:szCs w:val="18"/>
          <w:color w:val="auto"/>
        </w:rPr>
        <w:t>. The Company will cooperate with the Placement Agent and the Purchasers in endeavoring to qualify the Shares for sale under the securities laws of such jurisdictions (United States and foreign) as the Placement Agent and the Purchasers may reasonably request and will make such applications, file such documents, and furnish such information as may be reasonably required for that purpose, provided the Company shall not be required to qualify as a foreign corporation or to file a general consent to service of process in any jurisdiction where it is not now so qualified or required to file such a consent, and provided further that the Company shall not be required to produce any new disclosure document. The Company will, from time to time, prepare and file such statements, reports and other documents as are or may be required to continue such qualifications in effect for so long a period as the Placement Agent may reasonably request for distribution of the Shares. The Company will advise the Placement Agent promptly of the suspension of the qualification or registration of (or any such exemption relating to) the Shares for offering, sale or trading in any jurisdiction or any initiation or threat of any proceeding for any such purpose, and in the event of the issuance of any order suspending such qualification, registration or exemption, the Company shall use its best efforts to obtain the withdrawal thereof at the earliest possible moment.</w:t>
      </w:r>
    </w:p>
    <w:p>
      <w:pPr>
        <w:spacing w:after="0" w:line="194" w:lineRule="exact"/>
        <w:rPr>
          <w:rFonts w:ascii="Times New Roman" w:cs="Times New Roman" w:eastAsia="Times New Roman" w:hAnsi="Times New Roman"/>
          <w:sz w:val="18"/>
          <w:szCs w:val="18"/>
          <w:color w:val="auto"/>
        </w:rPr>
      </w:pPr>
    </w:p>
    <w:p>
      <w:pPr>
        <w:jc w:val="both"/>
        <w:ind w:firstLine="656"/>
        <w:spacing w:after="0" w:line="252" w:lineRule="auto"/>
        <w:tabs>
          <w:tab w:leader="none" w:pos="89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Supplements to a Prospectus and Other Matters</w:t>
      </w:r>
      <w:r>
        <w:rPr>
          <w:rFonts w:ascii="Times New Roman" w:cs="Times New Roman" w:eastAsia="Times New Roman" w:hAnsi="Times New Roman"/>
          <w:sz w:val="18"/>
          <w:szCs w:val="18"/>
          <w:color w:val="auto"/>
        </w:rPr>
        <w:t>. The Company will comply with the Securities Act and the Exchange Act, and the rules and regulations of the Commission thereunder, so as to permit the completion of the distribution of the Shares as contemplated in this Agreement, the Incorporated Documents and the Prospectus Supplement. If during the period in which a prospectus is required by law to be delivered in connection with the distribution of Shares contemplated by the Incorporated Documents or the Prospectus Supplement (the “</w:t>
      </w:r>
      <w:r>
        <w:rPr>
          <w:rFonts w:ascii="Times New Roman" w:cs="Times New Roman" w:eastAsia="Times New Roman" w:hAnsi="Times New Roman"/>
          <w:sz w:val="18"/>
          <w:szCs w:val="18"/>
          <w:u w:val="single" w:color="auto"/>
          <w:color w:val="auto"/>
        </w:rPr>
        <w:t>Prospectus Delivery Period</w:t>
      </w:r>
      <w:r>
        <w:rPr>
          <w:rFonts w:ascii="Times New Roman" w:cs="Times New Roman" w:eastAsia="Times New Roman" w:hAnsi="Times New Roman"/>
          <w:sz w:val="18"/>
          <w:szCs w:val="18"/>
          <w:color w:val="auto"/>
        </w:rPr>
        <w:t>”), any event shall occur as a result of which, in the judgment of the Company or in the opinion of the Placement Agent or counsel for the Placement Agent, it becomes necessary to amend or supplement the Incorporated Documents or the Prospectus Supplement in order to make the statements therein, in light of the circumstances under which they were made, as the case may be, not misleading, or if it is necessary at any time to amend or supplement the Incorporated Documents or the Prospectus Supplement or to file under the Exchange Act any Incorporated Document to comply with any law, the Company will promptly prepare and file with the Commission, and furnish at its own expense to the Placement Agent and to dealers, an appropriate amendment to the Registration Statement or supplement to the Registration Statement, the Incorporated Documents or the Prospectus Supplement that is necessary in order to make the statements in the Incorporated Documents and the Prospectus Supplement as so amended or supplemented, in light of the circumstances under which they were made, as the case may be, not misleading, or so that the Registration Statement, the Incorporated Documents or the Prospectus Supplement, as so amended or supplemented, will comply with law. Before amending the Registration Statement or supplementing the Incorporated Documents or the Prospectus Supplement in connection with the Offering, the Company will furnish the Placement Agent with a copy of such proposed amendment or supplement and will not file any such amendment or supplement to which the Placement Agent reasonably objects.</w:t>
      </w:r>
    </w:p>
    <w:p>
      <w:pPr>
        <w:spacing w:after="0" w:line="195" w:lineRule="exact"/>
        <w:rPr>
          <w:rFonts w:ascii="Times New Roman" w:cs="Times New Roman" w:eastAsia="Times New Roman" w:hAnsi="Times New Roman"/>
          <w:sz w:val="18"/>
          <w:szCs w:val="18"/>
          <w:color w:val="auto"/>
        </w:rPr>
      </w:pPr>
    </w:p>
    <w:p>
      <w:pPr>
        <w:jc w:val="both"/>
        <w:ind w:firstLine="656"/>
        <w:spacing w:after="0" w:line="266" w:lineRule="auto"/>
        <w:tabs>
          <w:tab w:leader="none" w:pos="91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Copies of any Amendments and Supplements to a Prospectus</w:t>
      </w:r>
      <w:r>
        <w:rPr>
          <w:rFonts w:ascii="Times New Roman" w:cs="Times New Roman" w:eastAsia="Times New Roman" w:hAnsi="Times New Roman"/>
          <w:sz w:val="18"/>
          <w:szCs w:val="18"/>
          <w:color w:val="auto"/>
        </w:rPr>
        <w:t>. The Company will furnish the Placement Agent, without charge, during the period beginning on the date hereof and ending on the later of the Closing Date of the Offering, as many copies of the Prospectus Supplement or prospectus supplement and any amendments and supplements thereto, as the Placement Agent may reasonably request.</w:t>
      </w:r>
    </w:p>
    <w:p>
      <w:pPr>
        <w:spacing w:after="0" w:line="175" w:lineRule="exact"/>
        <w:rPr>
          <w:rFonts w:ascii="Times New Roman" w:cs="Times New Roman" w:eastAsia="Times New Roman" w:hAnsi="Times New Roman"/>
          <w:sz w:val="18"/>
          <w:szCs w:val="18"/>
          <w:color w:val="auto"/>
        </w:rPr>
      </w:pPr>
    </w:p>
    <w:p>
      <w:pPr>
        <w:jc w:val="both"/>
        <w:ind w:firstLine="656"/>
        <w:spacing w:after="0" w:line="255" w:lineRule="auto"/>
        <w:tabs>
          <w:tab w:leader="none" w:pos="89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Free Writing Prospectus</w:t>
      </w:r>
      <w:r>
        <w:rPr>
          <w:rFonts w:ascii="Times New Roman" w:cs="Times New Roman" w:eastAsia="Times New Roman" w:hAnsi="Times New Roman"/>
          <w:sz w:val="18"/>
          <w:szCs w:val="18"/>
          <w:color w:val="auto"/>
        </w:rPr>
        <w:t>. The Company covenants that it will not, unless it obtains the prior written consent of the Placement Agent, make any offer relating to the Shares that would constitute an Issuer Free Writing Prospectus or that would otherwise constitute a “</w:t>
      </w:r>
      <w:r>
        <w:rPr>
          <w:rFonts w:ascii="Times New Roman" w:cs="Times New Roman" w:eastAsia="Times New Roman" w:hAnsi="Times New Roman"/>
          <w:sz w:val="18"/>
          <w:szCs w:val="18"/>
          <w:u w:val="single" w:color="auto"/>
          <w:color w:val="auto"/>
        </w:rPr>
        <w:t>free writing prospectus</w:t>
      </w:r>
      <w:r>
        <w:rPr>
          <w:rFonts w:ascii="Times New Roman" w:cs="Times New Roman" w:eastAsia="Times New Roman" w:hAnsi="Times New Roman"/>
          <w:sz w:val="18"/>
          <w:szCs w:val="18"/>
          <w:color w:val="auto"/>
        </w:rPr>
        <w:t>” (as defined in Rule 405 of the Securities Act) required to be filed by the Company with the Commission or retained by the Company under Rule 433 of the Securities Act. In the event that the Placement Agent expressly consents in writing to any such free writing prospectus (a “</w:t>
      </w:r>
      <w:r>
        <w:rPr>
          <w:rFonts w:ascii="Times New Roman" w:cs="Times New Roman" w:eastAsia="Times New Roman" w:hAnsi="Times New Roman"/>
          <w:sz w:val="18"/>
          <w:szCs w:val="18"/>
          <w:u w:val="single" w:color="auto"/>
          <w:color w:val="auto"/>
        </w:rPr>
        <w:t>Permitted Free Writing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the Company covenants that it shall (i) treat each Permitted Free Writing Prospectus as an Issuer Free Writing Prospectus, and (ii) comply with the requirements of Rule 164 and 433 of the Securities Act applicable to such Permitted Free Writing Prospectus, including in respect of timely filing with the Commission, legending and record keeping.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ind w:right="20" w:firstLine="656"/>
        <w:spacing w:after="0" w:line="282" w:lineRule="auto"/>
        <w:tabs>
          <w:tab w:leader="none" w:pos="87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The Company will maintain, at its expense, a registrar and transfer agent for the Ordinary Shares for at least three years after the Closing Date.</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90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Placement Agent Introductions</w:t>
      </w:r>
      <w:r>
        <w:rPr>
          <w:rFonts w:ascii="Times New Roman" w:cs="Times New Roman" w:eastAsia="Times New Roman" w:hAnsi="Times New Roman"/>
          <w:sz w:val="18"/>
          <w:szCs w:val="18"/>
          <w:color w:val="auto"/>
        </w:rPr>
        <w:t>. For a period of six (6) months from the final Closing Date, the Company will pay the Placement Agent a cash fee equal to 6.0% of the gross proceeds of any equity, equity-linked, or debt financing, or any other capital raising activity received by the Company from the Purchasers introduced to the Company by the Placement Agent related to the Offering.</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7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Periodic Reporting Obligations</w:t>
      </w:r>
      <w:r>
        <w:rPr>
          <w:rFonts w:ascii="Times New Roman" w:cs="Times New Roman" w:eastAsia="Times New Roman" w:hAnsi="Times New Roman"/>
          <w:sz w:val="18"/>
          <w:szCs w:val="18"/>
          <w:color w:val="auto"/>
        </w:rPr>
        <w:t>. During the Prospectus Delivery Period, the Company will duly file, on a timely basis, with the Commission and the market or exchange on which the Shares are listed or quoted for trading (the “</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all reports and documents required to be filed under the Exchange Act within the time periods and in the manner required by the Exchange Act.</w:t>
      </w:r>
    </w:p>
    <w:p>
      <w:pPr>
        <w:spacing w:after="0" w:line="173" w:lineRule="exact"/>
        <w:rPr>
          <w:rFonts w:ascii="Times New Roman" w:cs="Times New Roman" w:eastAsia="Times New Roman" w:hAnsi="Times New Roman"/>
          <w:sz w:val="18"/>
          <w:szCs w:val="18"/>
          <w:color w:val="auto"/>
        </w:rPr>
      </w:pPr>
    </w:p>
    <w:p>
      <w:pPr>
        <w:jc w:val="both"/>
        <w:ind w:firstLine="656"/>
        <w:spacing w:after="0" w:line="261" w:lineRule="auto"/>
        <w:tabs>
          <w:tab w:leader="none" w:pos="86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Documents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will enter into any subscription, purchase or other customary agreements as the Placement Agent or the Purchasers deem necessary or appropriate to consummate the Offering, all of which will be in form and substance reasonably acceptable to the Placement Agent and the Purchasers. The Company agrees that the Placement Agent may rely upon, and each is a third party beneficiary of, the representations and warranties, and applicable covenants, set forth in any such purchase, subscription or other agreement with Purchasers in the Offering.</w:t>
      </w:r>
    </w:p>
    <w:p>
      <w:pPr>
        <w:spacing w:after="0" w:line="179" w:lineRule="exact"/>
        <w:rPr>
          <w:rFonts w:ascii="Times New Roman" w:cs="Times New Roman" w:eastAsia="Times New Roman" w:hAnsi="Times New Roman"/>
          <w:sz w:val="18"/>
          <w:szCs w:val="18"/>
          <w:color w:val="auto"/>
        </w:rPr>
      </w:pPr>
    </w:p>
    <w:p>
      <w:pPr>
        <w:ind w:firstLine="656"/>
        <w:spacing w:after="0" w:line="284" w:lineRule="auto"/>
        <w:tabs>
          <w:tab w:leader="none" w:pos="90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Manipulation of Price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will not take, directly or indirectly, any action designed to cause or result in, or that has constituted or might reasonably be expected to constitute, the stabilization or manipulation of the price of any securities of the Company.</w:t>
      </w:r>
    </w:p>
    <w:p>
      <w:pPr>
        <w:spacing w:after="0" w:line="160" w:lineRule="exact"/>
        <w:rPr>
          <w:rFonts w:ascii="Times New Roman" w:cs="Times New Roman" w:eastAsia="Times New Roman" w:hAnsi="Times New Roman"/>
          <w:sz w:val="18"/>
          <w:szCs w:val="18"/>
          <w:color w:val="auto"/>
        </w:rPr>
      </w:pPr>
    </w:p>
    <w:p>
      <w:pPr>
        <w:jc w:val="both"/>
        <w:ind w:firstLine="656"/>
        <w:spacing w:after="0" w:line="266" w:lineRule="auto"/>
        <w:tabs>
          <w:tab w:leader="none" w:pos="86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w:t>
      </w:r>
      <w:r>
        <w:rPr>
          <w:rFonts w:ascii="Times New Roman" w:cs="Times New Roman" w:eastAsia="Times New Roman" w:hAnsi="Times New Roman"/>
          <w:sz w:val="18"/>
          <w:szCs w:val="18"/>
          <w:color w:val="auto"/>
        </w:rPr>
        <w:t>. The Company acknowledges that any advice related to the Offering given by the Placement Agent to the Company is solely for the benefit and use of the Board of Directors of the Company and may not be used, reproduced, disseminated, quoted or referred to, without the Placement Agent’s prior written consent.</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95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Publicity</w:t>
      </w:r>
      <w:r>
        <w:rPr>
          <w:rFonts w:ascii="Times New Roman" w:cs="Times New Roman" w:eastAsia="Times New Roman" w:hAnsi="Times New Roman"/>
          <w:sz w:val="18"/>
          <w:szCs w:val="18"/>
          <w:color w:val="auto"/>
        </w:rPr>
        <w:t>. The Company acknowledges and agrees that the Placement Agent may, subsequent to the Closing, make public its involvement with the Offering. The Company agrees that, until 10 days after the Closing Date, it will not issue press releases or engage in any other publicity, without Maxim’s prior written consent (not to be unreasonably withheld), other than normal and customary releases issued in the ordinary course of the Company’s business. Notwithstanding the foregoing, in no event shall the Company be prohibited from issuing any press releases or engaging in any other publicity required by law, except that including the name of the Placement Agent therein shall require the prior written consent of the Placement Agent.</w:t>
      </w:r>
    </w:p>
    <w:p>
      <w:pPr>
        <w:spacing w:after="0" w:line="183"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Reliance on Others</w:t>
      </w:r>
      <w:r>
        <w:rPr>
          <w:rFonts w:ascii="Times New Roman" w:cs="Times New Roman" w:eastAsia="Times New Roman" w:hAnsi="Times New Roman"/>
          <w:sz w:val="18"/>
          <w:szCs w:val="18"/>
          <w:color w:val="auto"/>
        </w:rPr>
        <w:t>. The Company confirms that it will rely on its own counsel and accountants for legal and accounting advice.</w:t>
      </w:r>
    </w:p>
    <w:p>
      <w:pPr>
        <w:spacing w:after="0" w:line="225" w:lineRule="exact"/>
        <w:rPr>
          <w:rFonts w:ascii="Times New Roman" w:cs="Times New Roman" w:eastAsia="Times New Roman" w:hAnsi="Times New Roman"/>
          <w:sz w:val="18"/>
          <w:szCs w:val="18"/>
          <w:color w:val="auto"/>
        </w:rPr>
      </w:pPr>
    </w:p>
    <w:p>
      <w:pPr>
        <w:jc w:val="both"/>
        <w:ind w:firstLine="656"/>
        <w:spacing w:after="0" w:line="256" w:lineRule="auto"/>
        <w:tabs>
          <w:tab w:leader="none" w:pos="91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Research Matters</w:t>
      </w:r>
      <w:r>
        <w:rPr>
          <w:rFonts w:ascii="Times New Roman" w:cs="Times New Roman" w:eastAsia="Times New Roman" w:hAnsi="Times New Roman"/>
          <w:sz w:val="18"/>
          <w:szCs w:val="18"/>
          <w:color w:val="auto"/>
        </w:rPr>
        <w:t>. By entering into this Agreement, the Placement Agent does not provide any promise, either explicitly or implicitly, of favorable or continued research coverage of the Company and the Company hereby acknowledges and agrees that the Placement Agent’s selection as a placement agent for the Offering was in no way conditioned, explicitly or implicitly, on the Placement Agent providing favorable or any research coverage of the Company. In accordance with the FINRA Rules, the parties acknowledge and agree that the Placement Agent has not directly or indirectly offered favorable research, a specific rating or a specific price target, or threatened to change research, a rating or a price target, to the Company or inducement for the receipt of business or compensation.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ind w:firstLine="656"/>
        <w:spacing w:after="0" w:line="282" w:lineRule="auto"/>
        <w:tabs>
          <w:tab w:leader="none" w:pos="90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The Company will use its best efforts to maintain the listing of its Ordinary Shares on the Trading Market for a period of at least one year after the Closing Date.</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3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Engagement of Professionals</w:t>
      </w:r>
      <w:r>
        <w:rPr>
          <w:rFonts w:ascii="Times New Roman" w:cs="Times New Roman" w:eastAsia="Times New Roman" w:hAnsi="Times New Roman"/>
          <w:sz w:val="18"/>
          <w:szCs w:val="18"/>
          <w:color w:val="auto"/>
        </w:rPr>
        <w:t>. The Company will retain a PCAOB registered firm of independent certified public accountants reasonably acceptable to Maxim for a period of at least one year after the Closing Date. Maxim acknowledges that ASA &amp; Associates LLP, the Company’s current independent accounting firm, is acceptable.</w:t>
      </w:r>
    </w:p>
    <w:p>
      <w:pPr>
        <w:spacing w:after="0" w:line="175" w:lineRule="exact"/>
        <w:rPr>
          <w:rFonts w:ascii="Times New Roman" w:cs="Times New Roman" w:eastAsia="Times New Roman" w:hAnsi="Times New Roman"/>
          <w:sz w:val="18"/>
          <w:szCs w:val="18"/>
          <w:color w:val="auto"/>
        </w:rPr>
      </w:pPr>
    </w:p>
    <w:p>
      <w:pPr>
        <w:jc w:val="both"/>
        <w:ind w:firstLine="656"/>
        <w:spacing w:after="0" w:line="256" w:lineRule="auto"/>
        <w:tabs>
          <w:tab w:leader="none" w:pos="87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Equity Sales.</w:t>
      </w:r>
      <w:r>
        <w:rPr>
          <w:rFonts w:ascii="Times New Roman" w:cs="Times New Roman" w:eastAsia="Times New Roman" w:hAnsi="Times New Roman"/>
          <w:sz w:val="18"/>
          <w:szCs w:val="18"/>
          <w:color w:val="auto"/>
        </w:rPr>
        <w:t xml:space="preserve"> From the date hereof until twenty (20) days after the Closing Date, without the prior written consent of the Placement Agent, the Company shall not (i) issue, enter into any agreement to issue or announce the issuance or proposed issuance of any Ordinary Shares or Ordinary Share Equivalents, other than any Exempt Issuance (as defined in the Purchase Agreement), or (ii) file any registration statement or any amendment or supplement thereto, other than the Prospectus Supplement or a registration statement on Form S-8 in connection with any employee benefit plan (the “</w:t>
      </w:r>
      <w:r>
        <w:rPr>
          <w:rFonts w:ascii="Times New Roman" w:cs="Times New Roman" w:eastAsia="Times New Roman" w:hAnsi="Times New Roman"/>
          <w:sz w:val="18"/>
          <w:szCs w:val="18"/>
          <w:u w:val="single" w:color="auto"/>
          <w:color w:val="auto"/>
        </w:rPr>
        <w:t>Lock-Up Period</w:t>
      </w:r>
      <w:r>
        <w:rPr>
          <w:rFonts w:ascii="Times New Roman" w:cs="Times New Roman" w:eastAsia="Times New Roman" w:hAnsi="Times New Roman"/>
          <w:sz w:val="18"/>
          <w:szCs w:val="18"/>
          <w:color w:val="auto"/>
        </w:rPr>
        <w:t>”). Notwithstanding the foregoing, this Section 4(r) shall not apply in respect of an Exempt Issuance (as defined in the Purchase Agreement).</w:t>
      </w:r>
    </w:p>
    <w:p>
      <w:pPr>
        <w:spacing w:after="0" w:line="18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5. Conditions of the Obligations of the Placement Agent</w:t>
      </w:r>
      <w:r>
        <w:rPr>
          <w:rFonts w:ascii="Times New Roman" w:cs="Times New Roman" w:eastAsia="Times New Roman" w:hAnsi="Times New Roman"/>
          <w:sz w:val="18"/>
          <w:szCs w:val="18"/>
          <w:color w:val="auto"/>
        </w:rPr>
        <w:t>. The obligations of the Placement Agent hereunder shall be subject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accuracy of the representations and warranties on the part of the Company set forth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hereof and in the Purchase Agreement, in each case as of the date hereof and as of the Closing Date as though then made, to the timely performance by each of the Company of its covenants and other obligations hereunder on and as of such dates, and to each of the following additional conditions:</w:t>
      </w:r>
    </w:p>
    <w:p>
      <w:pPr>
        <w:spacing w:after="0" w:line="180" w:lineRule="exact"/>
        <w:rPr>
          <w:sz w:val="20"/>
          <w:szCs w:val="20"/>
          <w:color w:val="auto"/>
        </w:rPr>
      </w:pPr>
    </w:p>
    <w:p>
      <w:pPr>
        <w:jc w:val="both"/>
        <w:ind w:firstLine="656"/>
        <w:spacing w:after="0" w:line="256" w:lineRule="auto"/>
        <w:tabs>
          <w:tab w:leader="none" w:pos="91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Accountants’ Comfort Letter</w:t>
      </w:r>
      <w:r>
        <w:rPr>
          <w:rFonts w:ascii="Times New Roman" w:cs="Times New Roman" w:eastAsia="Times New Roman" w:hAnsi="Times New Roman"/>
          <w:sz w:val="18"/>
          <w:szCs w:val="18"/>
          <w:color w:val="auto"/>
        </w:rPr>
        <w:t>. On the Closing Date, the Placement Agent shall have received, and the Company shall have caused to be delivered to the Placement Agent, a “comfort letter” from ASA &amp; Associates LLP, the current independent registered public accounting firm of the Company, addressed to the Placement Agent, dated as of the Closing Date, as the case may be, in form and substance satisfactory to the Placement Agent. The letter shall not disclose any change in the condition (financial or other), earnings, operations, business or prospects of the Company from that set forth in the Incorporated Documents or the Prospectus Supplement, which, in the Placement Agent’s sole judgment, is material and adverse and that makes it, in the Placement Agent’s sole judgment, impracticable or inadvisable to proceed with the Offering of the Shares as contemplated by such Prospectus.</w:t>
      </w:r>
    </w:p>
    <w:p>
      <w:pPr>
        <w:spacing w:after="0" w:line="187" w:lineRule="exact"/>
        <w:rPr>
          <w:rFonts w:ascii="Times New Roman" w:cs="Times New Roman" w:eastAsia="Times New Roman" w:hAnsi="Times New Roman"/>
          <w:sz w:val="18"/>
          <w:szCs w:val="18"/>
          <w:color w:val="auto"/>
        </w:rPr>
      </w:pPr>
    </w:p>
    <w:p>
      <w:pPr>
        <w:jc w:val="both"/>
        <w:ind w:firstLine="656"/>
        <w:spacing w:after="0" w:line="254" w:lineRule="auto"/>
        <w:tabs>
          <w:tab w:leader="none" w:pos="90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Registration Requirements; No Stop Order; No Objection from the FINRA</w:t>
      </w:r>
      <w:r>
        <w:rPr>
          <w:rFonts w:ascii="Times New Roman" w:cs="Times New Roman" w:eastAsia="Times New Roman" w:hAnsi="Times New Roman"/>
          <w:sz w:val="18"/>
          <w:szCs w:val="18"/>
          <w:color w:val="auto"/>
        </w:rPr>
        <w:t>. Each Prospectus shall have been duly filed with the Commission, as appropriate; no stop order suspending the effectiveness of the Registration Statement or any part thereof shall have been issued and no proceeding for that purpose shall have been initiated or threatened by the Commission; no order preventing or suspending the use of the Prospectus Supplement shall have been issued and no proceeding for that purpose shall have been initiated or threatened by the Commission; no order having the effect of ceasing or suspending the distribution of the Shares or any other securities of the Company shall have been issued by any securities commission, securities regulatory authority or stock exchange and no proceedings for that purpose shall have been instituted or shall be pending or, to the knowledge of the Company, contemplated by any securities commission, securities regulatory authority or stock exchange; all requests for additional information on the part of the Commission shall have been complied with; and, prior to the Closing, FINRA shall have raised no objection to the fairness and reasonableness of the placement terms and arrangements.</w:t>
      </w:r>
    </w:p>
    <w:p>
      <w:pPr>
        <w:spacing w:after="0" w:line="188" w:lineRule="exact"/>
        <w:rPr>
          <w:rFonts w:ascii="Times New Roman" w:cs="Times New Roman" w:eastAsia="Times New Roman" w:hAnsi="Times New Roman"/>
          <w:sz w:val="18"/>
          <w:szCs w:val="18"/>
          <w:color w:val="auto"/>
        </w:rPr>
      </w:pPr>
    </w:p>
    <w:p>
      <w:pPr>
        <w:jc w:val="both"/>
        <w:ind w:firstLine="656"/>
        <w:spacing w:after="0" w:line="261" w:lineRule="auto"/>
        <w:tabs>
          <w:tab w:leader="none" w:pos="89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Proceedings</w:t>
      </w:r>
      <w:r>
        <w:rPr>
          <w:rFonts w:ascii="Times New Roman" w:cs="Times New Roman" w:eastAsia="Times New Roman" w:hAnsi="Times New Roman"/>
          <w:sz w:val="18"/>
          <w:szCs w:val="18"/>
          <w:color w:val="auto"/>
        </w:rPr>
        <w:t xml:space="preserve">. All corporate proceedings and other legal matters in connection with this Agreement, the Registration Statement and each Prospectus, and the registration, sale and delivery of the Shares, shall have been completed or resolved in a manner reasonably satisfactory to the Placement Agent’s counsel, and such counsel shall have been furnished with such papers and information as it may reasonably have requested to enable such counsel to pass upon the matters referred to in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91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Change</w:t>
      </w:r>
      <w:r>
        <w:rPr>
          <w:rFonts w:ascii="Times New Roman" w:cs="Times New Roman" w:eastAsia="Times New Roman" w:hAnsi="Times New Roman"/>
          <w:sz w:val="18"/>
          <w:szCs w:val="18"/>
          <w:color w:val="auto"/>
        </w:rPr>
        <w:t>. Subsequent to the execution and delivery of this Agreement and prior to the Closing Date, in the Placement Agent’s sole judgment after consultation with the Company, there shall not have occurred any Material Adverse Effect or any material adverse change or development involving a prospective material adverse change in the condition or the business activities, financial or otherwise, of the Company from the latest dates as of which such condition is set forth in the Registration Statement and Prospectus (“</w:t>
      </w:r>
      <w:r>
        <w:rPr>
          <w:rFonts w:ascii="Times New Roman" w:cs="Times New Roman" w:eastAsia="Times New Roman" w:hAnsi="Times New Roman"/>
          <w:sz w:val="18"/>
          <w:szCs w:val="18"/>
          <w:u w:val="single" w:color="auto"/>
          <w:color w:val="auto"/>
        </w:rPr>
        <w:t>Material Adverse Change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jc w:val="both"/>
        <w:ind w:firstLine="656"/>
        <w:spacing w:after="0" w:line="266" w:lineRule="auto"/>
        <w:tabs>
          <w:tab w:leader="none" w:pos="90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Opinion of Counsel for the Company</w:t>
      </w:r>
      <w:r>
        <w:rPr>
          <w:rFonts w:ascii="Times New Roman" w:cs="Times New Roman" w:eastAsia="Times New Roman" w:hAnsi="Times New Roman"/>
          <w:sz w:val="18"/>
          <w:szCs w:val="18"/>
          <w:color w:val="auto"/>
        </w:rPr>
        <w:t>. The Placement Agent shall have received on the Closing Date the favorable opinion of Greenberg Traurig, LLP, legal counsel to the Company, and Maples &amp; Calder, the Company’s British Virgin Islands counsel, dated as of such Closing Date, including, without limitation, a negative assurance letter addressed to the Placement Agent and in form and substance satisfactory to the Placement Agent.</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88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The Placement Agent shall have received on the Closing Date a certificate of the Company, dated as of such Closing Date, signed by the Principal Executive Officer and Principal Financial Officer of the Company, to the effect that, and the Placement Agent shall be satisfied that, the signers of such certificate have reviewed the Registration Statement, the Incorporated Documents, the Prospectus Supplement, the Transaction Documents and this Agreement and to the further effect that:</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1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Company in this Agreement are true and correct, as if made on and as of such Closing Date, and the Company has complied with all the agreements and satisfied all the conditions on its part to be performed or satisfied at or prior to such Closing Date;</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62"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stop order suspending the effectiveness of the Registration Statement or the use of the Prospectus Supplement has been issued and no proceedings for that purpose have been instituted or are pending or, to the Company’s knowledge, threatened under the Securities Act; no order having the effect of ceasing or suspending the distribution of the Shares or any other securities of the Company has been issued by any securities commission, securities regulatory authority or stock exchange in the United States and no proceedings for that purpose have been instituted or are pending or, to the knowledge of the Company, contemplated by any securities commission, securities regulatory authority or stock exchange in the United States;</w:t>
      </w:r>
    </w:p>
    <w:p>
      <w:pPr>
        <w:spacing w:after="0" w:line="183" w:lineRule="exact"/>
        <w:rPr>
          <w:rFonts w:ascii="Times New Roman" w:cs="Times New Roman" w:eastAsia="Times New Roman" w:hAnsi="Times New Roman"/>
          <w:sz w:val="18"/>
          <w:szCs w:val="18"/>
          <w:color w:val="auto"/>
        </w:rPr>
      </w:pPr>
    </w:p>
    <w:p>
      <w:pPr>
        <w:jc w:val="both"/>
        <w:ind w:firstLine="1304"/>
        <w:spacing w:after="0" w:line="253" w:lineRule="auto"/>
        <w:tabs>
          <w:tab w:leader="none" w:pos="161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Registration Statement became effective, at the time of sale, and at all times subsequent thereto up to the delivery of such certificate, the Registration Statement, the and the Incorporated Documents, if any, when such documents became effective or were filed with the Commission, and the Prospectus Supplement as of its date and the Closing Date, contained all material information required to be included therein by the Securities Act and the Exchange Act and the applicable rules and regulations of the Commission thereunder, as the case may be, and in all material respects conformed to the requirements of the Securities Act and the Exchange Act and the applicable rules and regulations of the Commission thereunder, as the case may be, and the Registration Statement and the Incorporated Documents, if any, and the Prospectus Supplement, did not and do not include any untrue statement of a material fact or omit to state a material fact required to be stated therein or necessary to make the statements therein, in light of the circumstances under which they were made, not misleading (provided, however, that the preceding representations and warranties contained in this paragraph (iii) shall not apply to any statements or omissions made in reliance upon and in conformity with information furnished in writing to the Company by the Placement Agent expressly for use therein) and, since the effective date of the Registration Statement, there has occurred no event required by the Securities Act and the rules and regulations of the Commission thereunder to be set forth in the Incorporated Documents which has not been so set forth; and</w:t>
      </w:r>
    </w:p>
    <w:p>
      <w:pPr>
        <w:spacing w:after="0" w:line="189" w:lineRule="exact"/>
        <w:rPr>
          <w:rFonts w:ascii="Times New Roman" w:cs="Times New Roman" w:eastAsia="Times New Roman" w:hAnsi="Times New Roman"/>
          <w:sz w:val="18"/>
          <w:szCs w:val="18"/>
          <w:color w:val="auto"/>
        </w:rPr>
      </w:pPr>
    </w:p>
    <w:p>
      <w:pPr>
        <w:jc w:val="both"/>
        <w:ind w:firstLine="1304"/>
        <w:spacing w:after="0" w:line="255" w:lineRule="auto"/>
        <w:tabs>
          <w:tab w:leader="none" w:pos="161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respective dates as of which information is given in the Registration Statement, the Incorporated Documents and the Prospectus Supplement, there has not been: (a) any Material Adverse Change; (b) any transaction that is material to the Company taken as a whole, except transactions entered into in the ordinary course of business; (c) any obligation, direct or contingent, that is material to the Company taken as a whole, incurred by the Company, except obligations incurred in the ordinary course of business; (d) any material change in the capital stock (except changes thereto resulting from the exercise of outstanding stock options or warrants) or outstanding indebtedness of the Company; (e) any dividend or distribution of any kind declared, paid or made on the capital stock of the Company; or (f) any loss or damage (whether or not insured) to the property of the Company which has been sustained or will have been sustained which has a Material Adverse Effect.</w:t>
      </w:r>
    </w:p>
    <w:p>
      <w:pPr>
        <w:spacing w:after="0" w:line="188" w:lineRule="exact"/>
        <w:rPr>
          <w:rFonts w:ascii="Times New Roman" w:cs="Times New Roman" w:eastAsia="Times New Roman" w:hAnsi="Times New Roman"/>
          <w:sz w:val="18"/>
          <w:szCs w:val="18"/>
          <w:color w:val="auto"/>
        </w:rPr>
      </w:pPr>
    </w:p>
    <w:p>
      <w:pPr>
        <w:jc w:val="both"/>
        <w:ind w:firstLine="656"/>
        <w:spacing w:after="0" w:line="266" w:lineRule="auto"/>
        <w:tabs>
          <w:tab w:leader="none" w:pos="90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Secretary’s Certificate</w:t>
      </w:r>
      <w:r>
        <w:rPr>
          <w:rFonts w:ascii="Times New Roman" w:cs="Times New Roman" w:eastAsia="Times New Roman" w:hAnsi="Times New Roman"/>
          <w:sz w:val="18"/>
          <w:szCs w:val="18"/>
          <w:color w:val="auto"/>
        </w:rPr>
        <w:t>. The Placement Agent shall have received on the Closing Date a certificate of the Company’s secretary, dated as of the date of such Closing, certifying to the organizational documents, good standing in the state of incorporation of the Company and resolutions of the Board of Directors of the Company relating to the Offering. All documents referenced in such certificate shall be attached thereto.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ind w:firstLine="656"/>
        <w:spacing w:after="0" w:line="282" w:lineRule="auto"/>
        <w:tabs>
          <w:tab w:leader="none" w:pos="91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Chief Financial Officer Certificate</w:t>
      </w:r>
      <w:r>
        <w:rPr>
          <w:rFonts w:ascii="Times New Roman" w:cs="Times New Roman" w:eastAsia="Times New Roman" w:hAnsi="Times New Roman"/>
          <w:sz w:val="18"/>
          <w:szCs w:val="18"/>
          <w:color w:val="auto"/>
        </w:rPr>
        <w:t>. On the Closing Date, the Placement Agent shall have received a certificate of Chief Financial Officer addressed to the Placement Agent and in form and substance satisfactory in all respects to the Placement Agent and Placement Agent’ counsel.</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87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Exchange Listing</w:t>
      </w:r>
      <w:r>
        <w:rPr>
          <w:rFonts w:ascii="Times New Roman" w:cs="Times New Roman" w:eastAsia="Times New Roman" w:hAnsi="Times New Roman"/>
          <w:sz w:val="18"/>
          <w:szCs w:val="18"/>
          <w:color w:val="auto"/>
        </w:rPr>
        <w:t>. The Ordinary Shares shall be registered under the Exchange Act and shall be listed on the Trading Market, and the Company shall not have taken any action designed to terminate, or likely to have the effect of terminating, the registration of the Ordinary Shares under the Exchange Act or delisting or suspending from trading the Ordinary Shares from the Trading Market, nor shall the Company have received any information suggesting that the Commission or the Trading Market is contemplating terminating such registration or listing except as disclosed in the Prospectus Supplement.</w:t>
      </w:r>
    </w:p>
    <w:p>
      <w:pPr>
        <w:spacing w:after="0" w:line="183"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p>
    <w:p>
      <w:pPr>
        <w:spacing w:after="0" w:line="225"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96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Documents</w:t>
      </w:r>
      <w:r>
        <w:rPr>
          <w:rFonts w:ascii="Times New Roman" w:cs="Times New Roman" w:eastAsia="Times New Roman" w:hAnsi="Times New Roman"/>
          <w:sz w:val="18"/>
          <w:szCs w:val="18"/>
          <w:color w:val="auto"/>
        </w:rPr>
        <w:t>. On or before the Closing Date, the Placement Agent and counsel for the Placement Agent shall have received such information and documents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as they may reasonably require for the purposes of enabling them to pass upon the issuance and sale of the Shares as contemplated herein, or in order to evidence the accuracy of any of the representations and warranties, or the satisfaction of any of the conditions or agreements, herein contained.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If any condition specified in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is not satisfied when and as required to be satisfied, this Agreement may be terminated by the Placement Agent by notice to the Company at any time on or prior to the Closing Date, which termination shall be without liability on the part of any party to any other party, except that </w:t>
      </w:r>
      <w:r>
        <w:rPr>
          <w:rFonts w:ascii="Times New Roman" w:cs="Times New Roman" w:eastAsia="Times New Roman" w:hAnsi="Times New Roman"/>
          <w:sz w:val="18"/>
          <w:szCs w:val="18"/>
          <w:u w:val="single" w:color="auto"/>
          <w:color w:val="auto"/>
        </w:rPr>
        <w:t>Sections 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w:t>
      </w:r>
      <w:r>
        <w:rPr>
          <w:rFonts w:ascii="Times New Roman" w:cs="Times New Roman" w:eastAsia="Times New Roman" w:hAnsi="Times New Roman"/>
          <w:sz w:val="18"/>
          <w:szCs w:val="18"/>
          <w:color w:val="auto"/>
        </w:rPr>
        <w:t xml:space="preserve"> shall at all times be effective and shall survive such termination.</w:t>
      </w:r>
    </w:p>
    <w:p>
      <w:pPr>
        <w:spacing w:after="0" w:line="17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6. Further Agreements. </w:t>
      </w:r>
      <w:r>
        <w:rPr>
          <w:rFonts w:ascii="Times New Roman" w:cs="Times New Roman" w:eastAsia="Times New Roman" w:hAnsi="Times New Roman"/>
          <w:sz w:val="18"/>
          <w:szCs w:val="18"/>
          <w:color w:val="auto"/>
        </w:rPr>
        <w:t>The Company acknowledges that the Placement Agent has been, and may in the future be, engaged to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as an underwriter, placement agent, finder, advisor or investment banker to other companies in the industry in which the Company is involved. The Company acknowledges and agrees that nothing contained in this Agreement shall limit or restrict the right of the Placement Agent or of any member, manager, officer, employee, agent or representative of the Placement Agent, to be a member, manager, partner, officer, director, employee, agent or representative of, investor in, or to engage in, any other business, whether or not of a similar nature to the Company’s business, nor to limit or restrict the right of the Placement Agent to render services of any kind to any other corporation, firm, individual or association; provided that the Placement Agent and any of its members, managers, officers, employees, agents or representatives shall not use the Information to the detriment of the Company.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7. Indemnification and Contribution.</w:t>
      </w:r>
    </w:p>
    <w:p>
      <w:pPr>
        <w:spacing w:after="0" w:line="229" w:lineRule="exact"/>
        <w:rPr>
          <w:sz w:val="20"/>
          <w:szCs w:val="20"/>
          <w:color w:val="auto"/>
        </w:rPr>
      </w:pPr>
    </w:p>
    <w:p>
      <w:pPr>
        <w:jc w:val="both"/>
        <w:ind w:firstLine="656"/>
        <w:spacing w:after="0" w:line="252" w:lineRule="auto"/>
        <w:tabs>
          <w:tab w:leader="none" w:pos="91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indemnify and hold harmless the Placement Agent, its affiliates and each person controlling the Placement Agent (within the meaning of Section 15 of the Securities Act), and the directors, officers, agents and employees of the Placement Agent, its affiliates and each such controlling person (the Placement Agent, and each such entity or person. an “</w:t>
      </w:r>
      <w:r>
        <w:rPr>
          <w:rFonts w:ascii="Times New Roman" w:cs="Times New Roman" w:eastAsia="Times New Roman" w:hAnsi="Times New Roman"/>
          <w:sz w:val="18"/>
          <w:szCs w:val="18"/>
          <w:u w:val="single" w:color="auto"/>
          <w:color w:val="auto"/>
        </w:rPr>
        <w:t>Indemnified Person</w:t>
      </w:r>
      <w:r>
        <w:rPr>
          <w:rFonts w:ascii="Times New Roman" w:cs="Times New Roman" w:eastAsia="Times New Roman" w:hAnsi="Times New Roman"/>
          <w:sz w:val="18"/>
          <w:szCs w:val="18"/>
          <w:color w:val="auto"/>
        </w:rPr>
        <w:t>”) from and against any losses, claims, damages, judgments, assessments, costs and other liabilities (collectively, the “</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and shall reimburse each Indemnified Person for all fees and expenses (including the reasonable fees and expenses of one counsel for all Indemnified Persons, except as otherwise expressly provided herein) (collectively, the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xml:space="preserve">”) as they are incurred by an Indemnified Person in investigating, preparing, pursuing or defending any action, suit, inquiry, notice of violation, proceeding or investigation (collectively, an “Action”), whether or not any Indemnified Person is a party thereto, (i) caused by, or arising out of or in connection with, any untrue statement or alleged untrue statement of a material fact contained in the Registration Statement, any Incorporated Document, or the Prospectus Supplement or by any omission or alleged omission to state therein a material fact necessary to make the statements therein, in light of the circumstances under which they were made, not misleading (other than untrue statements or alleged untrue statements in, or omissions or alleged omissions from, information relating to an Indemnified Person furnished in writing by or on behalf of such Indemnified Person expressly for use in the Incorporated Documents) or (ii) otherwise arising out of or in connection with advice or services rendered or to be rendered by any Indemnified Person pursuant to this Agreement, the transactions contemplated thereby or any Indemnified Person’s actions or inactions in connection with any such advice, services or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case of clause (ii) only, the Company shall not be responsible for any Liabilities or Expenses of any Indemnified Person that are finally judicially determined to have resulted solely from such Indemnified Person’s (x) gross negligence or willful misconduct in connection with any of the advice, actions, inactions or services referred to above or (y) use of any offering materials or information concerning the Company in connection with the offer or sale of the Shares in the Offering which were not authorized for such use by the Company and which use constitutes gross negligence or willful misconduct. The Company also agrees to reimburse each Indemnified Person for all Expenses as they are incurred in connection with enforcing such Indemnified Person’s rights under this Agreement.</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jc w:val="both"/>
        <w:ind w:firstLine="656"/>
        <w:spacing w:after="0" w:line="252" w:lineRule="auto"/>
        <w:tabs>
          <w:tab w:leader="none" w:pos="90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by an Indemnified Person of actual notice of an Action against such Indemnified Person with respect to which indemnity may be sought under this Agreement, such Indemnified Person shall promptly notify the Company in writing; provided that failure by any Indemnified Person so to notify the Company shall not relieve the Company from any liability which the Company may have on account of this indemnity or otherwise to such Indemnified Person, except to the extent the Company shall have been prejudiced by such failure. The Company shall, if requested by the Placement Agent, have the right to assume the defense of any such Action including the employment of counsel reasonably satisfactory to the Placement Agent, which counsel may also be counsel to the Company. Any Indemnified Person shall have the right to employ separate counsel in any such action and participate in the defense thereof, but the fees and expenses of such counsel shall be at the expense of such Indemnified Person unless: (i) the Company has failed promptly to assume the defense and employ counsel or (ii) the named parties to any such Action (including any impeded parties) include such Indemnified Person and the Company, and such Indemnified Person shall have been advised in the reasonable opinion of counsel that there is an actual conflict of interest that prevents the counsel selected by the Company from representing both the Company (or another client of such counsel) and any Indemnified Person; provided that the Company shall not in such event be responsible hereunder for the fees and expenses of more than one firm of separate counsel for all Indemnified Persons in connection with any Action or related Actions, in addition to any local counsel. The Company shall not be liable for any settlement of any Action effected without its written consent (which shall not be unreasonably withheld). In addition, the Company shall not, without the prior written consent of the Placement Agent (which shall not be unreasonably withheld), settle, compromise or consent to the entry of any judgment in or otherwise seek to terminate any pending or threatened Action in respect of which indemnification or contribution may be sought hereunder (whether or not such Indemnified Person is a party thereto) unless such settlement, compromise, consent or termination includes an unconditional release of each Indemnified Person from all Liabilities arising out of such Action for which indemnification or contribution may be sought hereunder. The indemnification required hereby shall be made by periodic payments of the amount thereof during the course of the investigation or defense, as such expense, loss, damage or liability is incurred and is due and payable.</w:t>
      </w:r>
    </w:p>
    <w:p>
      <w:pPr>
        <w:spacing w:after="0" w:line="190" w:lineRule="exact"/>
        <w:rPr>
          <w:rFonts w:ascii="Times New Roman" w:cs="Times New Roman" w:eastAsia="Times New Roman" w:hAnsi="Times New Roman"/>
          <w:sz w:val="18"/>
          <w:szCs w:val="18"/>
          <w:color w:val="auto"/>
        </w:rPr>
      </w:pPr>
    </w:p>
    <w:p>
      <w:pPr>
        <w:jc w:val="both"/>
        <w:ind w:firstLine="656"/>
        <w:spacing w:after="0" w:line="253" w:lineRule="auto"/>
        <w:tabs>
          <w:tab w:leader="none" w:pos="89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foregoing indemnity is unavailable to an Indemnified Person other than in accordance with this Agreement, the Company shall contribute to the Liabilities and Expenses paid or payable by such Indemnified Person in such proportion as is appropriate to reflect (i) the relative benefits to the Company, on the one hand, and to the Placement Agent and any other Indemnified Person, on the other hand, of the matters contemplated by this Agreement or (ii) if the allocation provided by the immediately preceding clause is not permitted by applicable law, not only such relative benefits but also the relative fault of the Company, on the one hand, and the Placement Agent and any other Indemnified Person, on the other hand, in connection with the matters as to which such Liabilities or Expenses relate, as well as any other relevant equitable considerations; provided that in no event shall the Company contribute less than the amount necessary to ensure that all Indemnified Persons, in the aggregate, are not liable for any Liabilities and Expenses in excess of the amount of fees actually received by the Placement Agent pursuant to this Agreement. For purposes of this paragraph, the relative benefits to the Company, on the one hand, and to the Placement Agent on the other hand, of the matters contemplated by this Agreement shall be deemed to be in the same proportion as (a) the total value paid or contemplated to be paid to or received or contemplated to be received by the Company in the transaction or transactions that are within the scope of this Agreement, whether or not any such transaction is consummated, bears to (b) the fees paid to the Placement Agent under this Agreement. Notwithstanding the above, no person guilty of fraudulent misrepresentation within the meaning of Section 11(f) of the Securities Act, as amended, shall be entitled to contribution from a party who was not guilty of fraudulent misrepresentation.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 w:name="page22"/>
    <w:bookmarkEnd w:id="21"/>
    <w:p>
      <w:pPr>
        <w:jc w:val="both"/>
        <w:ind w:firstLine="656"/>
        <w:spacing w:after="0" w:line="258" w:lineRule="auto"/>
        <w:tabs>
          <w:tab w:leader="none" w:pos="90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also agrees that no Indemnified Person shall have any liability (whether direct or indirect, in contract or tort or otherwise) to the Company for or in connection with advice or services rendered or to be rendered by any Indemnified Person pursuant to this Agreement, the transactions contemplated thereby or any Indemnified Person’s actions or inactions in connection with any such advice, services or transactions except for Liabilities (and related Expenses) of the Company that are finally judicially determined to have resulted solely from such Indemnified Person’s gross negligence or willful misconduct in connection with any such advice, actions, inactions or services.</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89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reimbursement, indemnity and contribution obligations of the Company set forth herein shall apply to any modification of this Agreement and shall remain in full force and effect regardless of any termination of, or the completion of any Indemnified Person’s services under or in connection with, this Agreement.</w:t>
      </w:r>
    </w:p>
    <w:p>
      <w:pPr>
        <w:spacing w:after="0" w:line="17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8. Representations and Indemnities to Survive Delivery</w:t>
      </w:r>
      <w:r>
        <w:rPr>
          <w:rFonts w:ascii="Times New Roman" w:cs="Times New Roman" w:eastAsia="Times New Roman" w:hAnsi="Times New Roman"/>
          <w:sz w:val="18"/>
          <w:szCs w:val="18"/>
          <w:color w:val="auto"/>
        </w:rPr>
        <w:t>. The respective indemnities, agreements, representations, warranties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statements of the Company or any person controlling the Company, of its officers, and of the Placement Agent set forth in or made pursuant to this Agreement will remain in full force and effect, regardless of any investigation made by or on behalf of the Placement Agent, the Company, or any of its or their partners, officers or directors or any controlling person, as the case may be, and will survive delivery of and payment for the Shares sold hereunder and any termination of this Agreement. A successor to a Placement Agent, or to the Company, its directors or officers or any person controlling the Company, shall be entitled to the benefits of the indemnity, contribution and reimbursement agreements contained in this Agreement.</w:t>
      </w:r>
    </w:p>
    <w:p>
      <w:pPr>
        <w:spacing w:after="0" w:line="182"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9. Notices</w:t>
      </w:r>
      <w:r>
        <w:rPr>
          <w:rFonts w:ascii="Times New Roman" w:cs="Times New Roman" w:eastAsia="Times New Roman" w:hAnsi="Times New Roman"/>
          <w:sz w:val="18"/>
          <w:szCs w:val="18"/>
          <w:color w:val="auto"/>
        </w:rPr>
        <w:t>. All communications hereunder shall be in writing and shall be mailed, hand delivered, e- mailed or telecopied and confirmed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parties hereto as follows: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Placement Agent: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Maxim Group LLC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300 Park Avenue, 16th Floor New York, New York 10022</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Clifford A. Teller, Co-President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cteller@maximgrp.com</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With a copy to:</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Thompson Hine LLP 300 Madison Avenue</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Faith L. Charles, Esq.</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Faith.Charles@ThompsonHine.com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Company: Roadzen Inc.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111 Anza Blvd, Suite 109</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Burlingame, California 94010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Attn: Chief Executive Officer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rohan@roadzen.ai</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With a copy to:</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Greenberg Traurig, LLP</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1750 Tysons Boulevard, Suite 1000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McLean, VA 22102</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Jason Simon, Esq.</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jason.simon@gtlaw.com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party hereto may change the address for receipt of communications by giving written notice to the others.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10. Successors</w:t>
      </w:r>
      <w:r>
        <w:rPr>
          <w:rFonts w:ascii="Times New Roman" w:cs="Times New Roman" w:eastAsia="Times New Roman" w:hAnsi="Times New Roman"/>
          <w:sz w:val="18"/>
          <w:szCs w:val="18"/>
          <w:color w:val="auto"/>
        </w:rPr>
        <w:t>. This Agreement will inure to the benefit of and be binding upon the parties hereto, and to the benefit of the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officers and directors and controlling persons referred to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hereof, and to their respective successors, and personal representative, and no other person will have any right or obligation hereunder.</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11. Partial Unenforceability</w:t>
      </w:r>
      <w:r>
        <w:rPr>
          <w:rFonts w:ascii="Times New Roman" w:cs="Times New Roman" w:eastAsia="Times New Roman" w:hAnsi="Times New Roman"/>
          <w:sz w:val="18"/>
          <w:szCs w:val="18"/>
          <w:color w:val="auto"/>
        </w:rPr>
        <w:t>. The invalidity or unenforceability of any section, paragraph or provision of this Agreement shall not affect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Section 12. Governing Law Provisions</w:t>
      </w:r>
      <w:r>
        <w:rPr>
          <w:rFonts w:ascii="Times New Roman" w:cs="Times New Roman" w:eastAsia="Times New Roman" w:hAnsi="Times New Roman"/>
          <w:sz w:val="18"/>
          <w:szCs w:val="18"/>
          <w:color w:val="auto"/>
        </w:rPr>
        <w:t>. This Agreement shall be deemed to have been made and delivered in New York City and both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the transactions contemplated hereby shall be governed as to validity, interpretation, construction, effect and in all other respects by the internal laws of the State of New York, without regard to the conflict of laws principles thereof. Each of the Placement Agent and the Company: (i) agrees that any legal suit, action or proceeding arising out of or relating to this Agreement and/or the transactions contemplated hereby shall be instituted exclusively in the New York Supreme Court, County of New York, or in the United States District Court for the Southern District of New York (ii) waives any objection which it may have or hereafter to the venue of any such suit, action or proceeding, and (iii) irrevocably consents to the jurisdiction of the New York Supreme Court, County of New York, or in the United States District Court for the Southern District of New York in any such suit, action or proceeding. Each of the Placement Agent and the Company further agrees to accept and acknowledge service of any and all process which may be served in any such suit, action or proceeding in the New York Supreme Court, County of New York, or in the United States District Court for the Southern District of New York and agrees that service of process upon the Company mailed by certified mail to the Company’s address shall be deemed in every respect effective service of process upon the Company, in any such suit, action or proceeding, and service of process upon the Placement Agent mailed by certified mail to the Placement Agent’s address shall be deemed in every respect effective service process upon the Placement Agent, in any such suit, action or proceeding. If either party shall commence an action or proceeding to enforce any provision of this Agreement, then the prevailing party in such action or proceeding shall be reimbursed by the other party for its reasonable attorney’s fees and other costs and expenses incurred with the investigation, preparation and prosecution of such action or proceeding.</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13. General Provisions.</w:t>
      </w:r>
    </w:p>
    <w:p>
      <w:pPr>
        <w:spacing w:after="0" w:line="229" w:lineRule="exact"/>
        <w:rPr>
          <w:sz w:val="20"/>
          <w:szCs w:val="20"/>
          <w:color w:val="auto"/>
        </w:rPr>
      </w:pPr>
    </w:p>
    <w:p>
      <w:pPr>
        <w:jc w:val="both"/>
        <w:ind w:firstLine="656"/>
        <w:spacing w:after="0" w:line="256" w:lineRule="auto"/>
        <w:tabs>
          <w:tab w:leader="none" w:pos="94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constitutes the entire agreement of the parties to this Agreement and supersedes all 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This Agreement may not be amended or modified unless in writing by all of the parties hereto, and no condition herein (express or implied) may be waived unless waived in writing by each party whom the condition is meant to benefit. Section headings herein are for the convenience of the parties only and shall not affect the construction or interpretation of this Agreement.</w:t>
      </w:r>
    </w:p>
    <w:p>
      <w:pPr>
        <w:spacing w:after="0" w:line="187" w:lineRule="exact"/>
        <w:rPr>
          <w:rFonts w:ascii="Times New Roman" w:cs="Times New Roman" w:eastAsia="Times New Roman" w:hAnsi="Times New Roman"/>
          <w:sz w:val="18"/>
          <w:szCs w:val="18"/>
          <w:color w:val="auto"/>
        </w:rPr>
      </w:pPr>
    </w:p>
    <w:p>
      <w:pPr>
        <w:jc w:val="both"/>
        <w:ind w:firstLine="656"/>
        <w:spacing w:after="0" w:line="258" w:lineRule="auto"/>
        <w:tabs>
          <w:tab w:leader="none" w:pos="92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that in connection with the offering of the Shares: (i) the Placement Agent has acted at arm’s length, are not agents of, and owe no fiduciary duties to the Company or any other person, (ii) the Placement Agent owes the Company only those duties and obligations set forth in this Agreement and (iii) the Placement Agent may have interests that differ from those of the Company. The Company waives to the full extent permitted by applicable law any claims it may have against the Placement Agent arising from an alleged breach of fiduciary duty in connection with the offering of the Shares.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remainder of this page has been intentionally left blank.</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3" w:name="page24"/>
    <w:bookmarkEnd w:id="23"/>
    <w:p>
      <w:pPr>
        <w:ind w:firstLine="648"/>
        <w:spacing w:after="0" w:line="282" w:lineRule="auto"/>
        <w:rPr>
          <w:sz w:val="20"/>
          <w:szCs w:val="20"/>
          <w:color w:val="auto"/>
        </w:rPr>
      </w:pPr>
      <w:r>
        <w:rPr>
          <w:rFonts w:ascii="Times New Roman" w:cs="Times New Roman" w:eastAsia="Times New Roman" w:hAnsi="Times New Roman"/>
          <w:sz w:val="18"/>
          <w:szCs w:val="18"/>
          <w:color w:val="auto"/>
        </w:rPr>
        <w:t>If the foregoing is in accordance with your understanding of our agreement, please sign below whereupon this instrument, along with all counterparts hereof, shall become a binding agreement in accordance with its terms.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MAXIM GROUP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Ritesh Veera</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Ritesh Veera</w:t>
            </w:r>
          </w:p>
        </w:tc>
        <w:tc>
          <w:tcPr>
            <w:tcW w:w="178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Co-Head of Investment Banking</w:t>
            </w:r>
          </w:p>
        </w:tc>
      </w:tr>
      <w:tr>
        <w:trPr>
          <w:trHeight w:val="432"/>
        </w:trPr>
        <w:tc>
          <w:tcPr>
            <w:tcW w:w="580" w:type="dxa"/>
            <w:vAlign w:val="bottom"/>
          </w:tcPr>
          <w:p>
            <w:pPr>
              <w:spacing w:after="0"/>
              <w:rPr>
                <w:sz w:val="24"/>
                <w:szCs w:val="24"/>
                <w:color w:val="auto"/>
              </w:rPr>
            </w:pPr>
          </w:p>
        </w:tc>
        <w:tc>
          <w:tcPr>
            <w:tcW w:w="68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9"/>
              </w:rPr>
              <w:t>The foregoing Agreement is hereby confirmed and accepted as of the date first written above.</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ROADZEN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Jean-Noël Gallardo</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Jean-Noël Gallardo</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Placement Agency Agreement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This Securities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dated as of May 4, 2026, between Roadzen Inc., a British Virgin Islands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purchaser identified on the signature pages hereto (each, including its successors and assigns,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subject to the terms and conditions set forth in this Agreement and pursuant to an effective registration statement under the Securities Act (as defined below) with respect to the Shares (as defined below), the Company desires to issue and sell to each Purchaser, and each Purchaser, severally and not jointly, desires to purchase from the Company, securities of the Company as more fully described in this Agreement.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contained in this Agreement, and for other good and valuable consideration the receipt and adequacy of which are hereby acknowledged, the Company and each Purchaser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the terms defined elsewhere in this Agreement, for all purposes of this Agreement, the following terms have the meanings set forth in this Section 1.1:</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shall have the meaning ascribed to such term in Section 4.5.</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shall have the meaning ascribed to such term in Section 3.1(j).</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other than Saturday, Sunday or other day on which commercial banks in The City of New York are authorized or required by law to remain closed;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means the closing of the purchase and sale of the Securities pursuant to Section 2.1.</w:t>
      </w:r>
    </w:p>
    <w:p>
      <w:pPr>
        <w:spacing w:after="0" w:line="225"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Trading Day on which all of the Transaction Documents have been executed and delivered by the applicable parties thereto, and all conditions precedent to (i) the Purchasers’ obligations to pay the Subscription Amount and (ii) the Company’s obligations to deliver the Securities, in each case, have been satisfied or waived, but in no event later than the first (1st) Trading Day following the date hereof (or the second (2nd) Trading Day following the date hereof if this Agreement is signed on a day that is not a Trading Day or after 4:00pm (New York City time) and before midnight (New York City time) on a Trading Day).</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9" w:lineRule="exact"/>
        <w:rPr>
          <w:sz w:val="20"/>
          <w:szCs w:val="20"/>
          <w:color w:val="auto"/>
        </w:rPr>
      </w:pPr>
    </w:p>
    <w:p>
      <w:pPr>
        <w:jc w:val="both"/>
        <w:ind w:left="660" w:firstLine="648"/>
        <w:spacing w:after="0" w:line="21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BVI Counsel</w:t>
      </w:r>
      <w:r>
        <w:rPr>
          <w:rFonts w:ascii="Times New Roman" w:cs="Times New Roman" w:eastAsia="Times New Roman" w:hAnsi="Times New Roman"/>
          <w:sz w:val="18"/>
          <w:szCs w:val="18"/>
          <w:color w:val="auto"/>
        </w:rPr>
        <w:t>” means Maples and Calder, with an address of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Ritter House, PO Box 17, Road Town, Tortola, British Virgin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5" w:name="page26"/>
    <w:bookmarkEnd w:id="25"/>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Counsel</w:t>
      </w:r>
      <w:r>
        <w:rPr>
          <w:rFonts w:ascii="Times New Roman" w:cs="Times New Roman" w:eastAsia="Times New Roman" w:hAnsi="Times New Roman"/>
          <w:sz w:val="18"/>
          <w:szCs w:val="18"/>
          <w:color w:val="auto"/>
        </w:rPr>
        <w:t>” means Greenburg Traurig, LLP, with offices located at 1750 Tysons Boulevard, Suite 1000, McLean, Virginia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22102.</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Schedules</w:t>
      </w:r>
      <w:r>
        <w:rPr>
          <w:rFonts w:ascii="Times New Roman" w:cs="Times New Roman" w:eastAsia="Times New Roman" w:hAnsi="Times New Roman"/>
          <w:sz w:val="18"/>
          <w:szCs w:val="18"/>
          <w:color w:val="auto"/>
        </w:rPr>
        <w:t>” means the Disclosure Schedules of the Company delivered concurrently herewith.</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Time</w:t>
      </w:r>
      <w:r>
        <w:rPr>
          <w:rFonts w:ascii="Times New Roman" w:cs="Times New Roman" w:eastAsia="Times New Roman" w:hAnsi="Times New Roman"/>
          <w:sz w:val="18"/>
          <w:szCs w:val="18"/>
          <w:color w:val="auto"/>
        </w:rPr>
        <w:t>” means, (i) if this Agreement is signed on a day that is not a Trading Day or after 9:00 a.m. (New York City time) and before midnight (New York City time) on any Trading Day, 9:01 a.m. (New York City time) on the Trading Day immediately following the date hereof, unless otherwise instructed as to an earlier time by the Placement Agent, and (ii) if this Agreement is signed between midnight (New York City time) and 9:00 a.m. (New York City time) on any Trading Day, no later than 9:01 a.m. (New York City time) on the date hereof, unless otherwise instructed as to an earlier time by the Placement Agent.</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shall have the meaning ascribed to such term in Section 3.1(s).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Exempt Issuance</w:t>
      </w:r>
      <w:r>
        <w:rPr>
          <w:rFonts w:ascii="Times New Roman" w:cs="Times New Roman" w:eastAsia="Times New Roman" w:hAnsi="Times New Roman"/>
          <w:sz w:val="18"/>
          <w:szCs w:val="18"/>
          <w:color w:val="auto"/>
        </w:rPr>
        <w:t>” means the issuance of (a) Ordinary Shares or options to employees, officers, consultants or directors of the Company pursuant to any stock or option plan duly adopted for such purpose, by a majority of the non-employee members of the Board of Directors or a majority of the members of a committee of non-employee directors established for such purpose for services rendered to the Company, (b) securities upon the exercise or exchange of or conversion of any Securities issued hereunder and/or other securities exercisable or exchangeable for or convertible into Ordinary Shares issued and outstanding on the date of this Agreement, provided that such securities have not been amended since the date of this Agreement to increase the number of such securities or to decrease the exercise price, exchange price or conversion price of such securities (other than in connection with stock splits or combinations) or to extend the term of such securities, and (c) securities issued pursuant to acquisitions or strategic transactions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during the prohibition period in Section 4.11(a) herein, and provided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w:t>
      </w:r>
    </w:p>
    <w:p>
      <w:pPr>
        <w:spacing w:after="0" w:line="1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means the Foreign Corrupt Practices Act of 1977, as amended.</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shall have the meaning ascribed to such term in Section 3.1(h).</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shall have the meaning ascribed to such term in Section 3.1(aa).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shall have the meaning ascribed to such term in Section 3.1(p).</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means a lien, charge, pledge, security interest, encumbrance, right of first refusal, preemptive right or other restriction.</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shall have the meaning assigned to such term in Section 3.1(b).</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shall have the meaning ascribed to such term in Section 3.1(n).</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means the ordinary shares of the Company, par value $0.0001 per share, and any other class of securities into which such securities may hereafter be reclassified or changed.</w:t>
      </w:r>
    </w:p>
    <w:p>
      <w:pPr>
        <w:spacing w:after="0" w:line="16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26" w:name="page27"/>
    <w:bookmarkEnd w:id="2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Ordinary Share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Ordinary Shares, including, without limitation, any debt, preferred stock, right, option, warrant or other instrument that is at any time convertible into or exercisable or exchangeable for, or otherwise entitles the holder thereof to receive, Ordinary Shares.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Purchase Price</w:t>
      </w:r>
      <w:r>
        <w:rPr>
          <w:rFonts w:ascii="Times New Roman" w:cs="Times New Roman" w:eastAsia="Times New Roman" w:hAnsi="Times New Roman"/>
          <w:sz w:val="18"/>
          <w:szCs w:val="18"/>
          <w:color w:val="auto"/>
        </w:rPr>
        <w:t>” equals $1.70, subject to adjustment for reverse and forward stock splits, stock dividends, stock combinations and other similar transactions of the Ordinary Shares that occur after the date of this Agreement and before the Closing.</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Placement Agent</w:t>
      </w:r>
      <w:r>
        <w:rPr>
          <w:rFonts w:ascii="Times New Roman" w:cs="Times New Roman" w:eastAsia="Times New Roman" w:hAnsi="Times New Roman"/>
          <w:sz w:val="18"/>
          <w:szCs w:val="18"/>
          <w:color w:val="auto"/>
        </w:rPr>
        <w:t>” means Maxim Group LLC.</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 action, claim, suit, investigation or proceeding (including, without limitation, an informal investigation or partial proceeding, such as a deposition), whether commenced or threatened.</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final prospectus filed for the Registration Statement.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means the supplement to the Prospectus complying with Rule 424(b) of the Securities Act that is filed with the Commission and delivered by the Company to each Purchaser at the Closing.</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shall have the meaning ascribed to such term in Section 4.8.</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the effective registration statement with Commission file No. 333- 282966 which registers the sale of the Shares to the Purchasers, and includes any Rule 462(b) Registration Statement.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 shall have the meaning ascribed to such term in Section 3.1(e).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462(b) Registration Statement</w:t>
      </w:r>
      <w:r>
        <w:rPr>
          <w:rFonts w:ascii="Times New Roman" w:cs="Times New Roman" w:eastAsia="Times New Roman" w:hAnsi="Times New Roman"/>
          <w:sz w:val="18"/>
          <w:szCs w:val="18"/>
          <w:color w:val="auto"/>
        </w:rPr>
        <w:t>” means any registration statement prepared by the Company registering additional Public Securities, which was filed with the Commission on or prior to the date hereof and became automatically effective pursuant to Rule 462(b) promulgated by the Commission pursuant to the Securities Act.</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shall have the meaning ascribed to such term in Section 3.1(h).</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means the Shares.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means the Ordinary Shares issued or issuable to each Purchaser pursuant to this Agreement.</w:t>
      </w:r>
    </w:p>
    <w:p>
      <w:pPr>
        <w:spacing w:after="0" w:line="22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27" w:name="page28"/>
    <w:bookmarkEnd w:id="27"/>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means all “short sales” as defined in Rule 200 of Regulation SHO under the Exchange Act (but shall not be deemed to include locating and/or borrowing Ordinary Shares).</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Subscription Amount</w:t>
      </w:r>
      <w:r>
        <w:rPr>
          <w:rFonts w:ascii="Times New Roman" w:cs="Times New Roman" w:eastAsia="Times New Roman" w:hAnsi="Times New Roman"/>
          <w:sz w:val="18"/>
          <w:szCs w:val="18"/>
          <w:color w:val="auto"/>
        </w:rPr>
        <w:t>” means, as to each Purchaser, the aggregate amount to be paid for Shares purchased hereunder as specified below such Purchaser’s name on the signature page of this Agreement and next to the heading “Subscription Amount,” in United States dollars and in immediately available funds .</w:t>
      </w:r>
    </w:p>
    <w:p>
      <w:pPr>
        <w:spacing w:after="0" w:line="176"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subsidiary of the Company as set forth in the SEC Reports, and shall, where applicable, also include any direct or indirect subsidiary of the Company formed or acquired after the date hereof.</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Thompson Hine</w:t>
      </w:r>
      <w:r>
        <w:rPr>
          <w:rFonts w:ascii="Times New Roman" w:cs="Times New Roman" w:eastAsia="Times New Roman" w:hAnsi="Times New Roman"/>
          <w:sz w:val="18"/>
          <w:szCs w:val="18"/>
          <w:color w:val="auto"/>
        </w:rPr>
        <w:t>” means Thompson Hine LLP, with offices located at 300 Madison Avenue, New York, New York 10017.</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principal Trading Market is open for trading.</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Ordinary Shares are listed or quoted for trading on the date in question: the NYSE American, the Nasdaq Capital Market, the Nasdaq Global Market, the Nasdaq Global Select Market, or the New York Stock Exchange (or any successors to any of the foregoing).</w:t>
      </w:r>
    </w:p>
    <w:p>
      <w:pPr>
        <w:spacing w:after="0" w:line="176"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Agreement, all exhibits and schedules hereto and any other documents or agreements executed in connection with the transactions contemplated hereunder.</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Continental Stock Transfer &amp; Trust Company, the current transfer agent of the Company, and any successor transfer agent of the Company.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PURCHASE AND SALE</w:t>
      </w:r>
    </w:p>
    <w:p>
      <w:pPr>
        <w:spacing w:after="0" w:line="20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On the Closing Date, upon the terms and subject to the conditions set forth herein, substantially concurrent with the execution and delivery of this Agreement by the parties hereto, the Company agrees to sell, and the Purchasers, severally and not jointly, agree to purchase, an aggregate of $8 million of Shares. Each Purchaser’s Subscription Amount as set forth on the signature page hereto executed by such Purchaser shall be made available for “Delivery Versus Payment” settlement with the Company or its designee. The Company shall deliver to each Purchaser its respective Shares as determined pursuant to Section 2.2(a), and the Company and each Purchaser shall deliver the other items set forth in Section 2.2 deliverable at the Closing. Upon satisfaction of the covenants and conditions set forth in Sections 2.2 and 2.3, the Closing shall occur at the offices of Thompson Hine or such other location as the parties shall mutually agree take place remotely by electronic transfer of the Closing documentation. Unless otherwise directed by the Placement Agent, settlement of the Shares shall occur via “Delivery Versus Payment” (“</w:t>
      </w:r>
      <w:r>
        <w:rPr>
          <w:rFonts w:ascii="Times New Roman" w:cs="Times New Roman" w:eastAsia="Times New Roman" w:hAnsi="Times New Roman"/>
          <w:sz w:val="18"/>
          <w:szCs w:val="18"/>
          <w:u w:val="single" w:color="auto"/>
          <w:color w:val="auto"/>
        </w:rPr>
        <w:t>DVP</w:t>
      </w:r>
      <w:r>
        <w:rPr>
          <w:rFonts w:ascii="Times New Roman" w:cs="Times New Roman" w:eastAsia="Times New Roman" w:hAnsi="Times New Roman"/>
          <w:sz w:val="18"/>
          <w:szCs w:val="18"/>
          <w:color w:val="auto"/>
        </w:rPr>
        <w:t>”) (i.e., on the Closing Date, the Company shall issue the Shares registered in the Purchasers’ names and addresses and released by the Transfer Agent directly to the account(s) at the Placement Agent identified by each Purchaser; upon receipt of such Shares, the Placement Agent shall promptly electronically deliver such Shares to the applicable Purchaser, and payment therefor shall be made by the Placement Agent (or its clearing firm) by wire transfer to the Company). Notwithstanding anything herein to the contrary, if at any time on or after the time of execution of this Agreement by the Company and an applicable Purchaser, through, and including the time immediately prior to the Closing (the “</w:t>
      </w:r>
      <w:r>
        <w:rPr>
          <w:rFonts w:ascii="Times New Roman" w:cs="Times New Roman" w:eastAsia="Times New Roman" w:hAnsi="Times New Roman"/>
          <w:sz w:val="18"/>
          <w:szCs w:val="18"/>
          <w:u w:val="single" w:color="auto"/>
          <w:color w:val="auto"/>
        </w:rPr>
        <w:t>Pre-Settlement Period</w:t>
      </w:r>
      <w:r>
        <w:rPr>
          <w:rFonts w:ascii="Times New Roman" w:cs="Times New Roman" w:eastAsia="Times New Roman" w:hAnsi="Times New Roman"/>
          <w:sz w:val="18"/>
          <w:szCs w:val="18"/>
          <w:color w:val="auto"/>
        </w:rPr>
        <w:t>”), such Purchaser sells to any Person all, or any portion, of the Shares to be issued hereunder to such Purchaser at the Closing (collectively, the “</w:t>
      </w:r>
      <w:r>
        <w:rPr>
          <w:rFonts w:ascii="Times New Roman" w:cs="Times New Roman" w:eastAsia="Times New Roman" w:hAnsi="Times New Roman"/>
          <w:sz w:val="18"/>
          <w:szCs w:val="18"/>
          <w:u w:val="single" w:color="auto"/>
          <w:color w:val="auto"/>
        </w:rPr>
        <w:t>Pre-Settlement Shares</w:t>
      </w:r>
      <w:r>
        <w:rPr>
          <w:rFonts w:ascii="Times New Roman" w:cs="Times New Roman" w:eastAsia="Times New Roman" w:hAnsi="Times New Roman"/>
          <w:sz w:val="18"/>
          <w:szCs w:val="18"/>
          <w:color w:val="auto"/>
        </w:rPr>
        <w:t>”), such Purchaser shall, automatically hereunder (without any additional required actions by such Purchaser or the Company), be deemed to be unconditionally bound to purchase, such Pre-Settlement Shares to such Purchaser at the Closing; provided, that the Company shall not be required to deliver any Pre-Settlement Shares to such Purchaser prior to the Company’s receipt of the purchase price of such Pre-Settlement Shares hereunder; and provided further that the Company hereby acknowledges and agrees that the forgoing shall not constitute a representation or covenant by such Purchaser as to whether or not during the Pre-Settlement Period such Purchaser shall sell any Ordinary Shares to any Person and that any such decision to sell any Ordinary Shares by such Purchaser shall solely be made at the time such Purchaser elects to effect any such sale, if any. Notwithstanding anything to the contrary herein and a Purchaser’s Subscription Amount set forth on the signature pages attached hereto, the number of Shares purchased by a Purchaser (and its Affiliates) hereunder shall not, when aggregated with all other Ordinary Shares owned by such Purchaser (and its Affiliates) at such time, result in such Purchaser beneficially owning (as determined in accordance with Section 13(d) of the Exchange Act) in excess of 9.9% of the then issued and outstanding Ordinary Shares outstanding at the Closing (the “</w:t>
      </w:r>
      <w:r>
        <w:rPr>
          <w:rFonts w:ascii="Times New Roman" w:cs="Times New Roman" w:eastAsia="Times New Roman" w:hAnsi="Times New Roman"/>
          <w:sz w:val="18"/>
          <w:szCs w:val="18"/>
          <w:u w:val="single" w:color="auto"/>
          <w:color w:val="auto"/>
        </w:rPr>
        <w:t>Beneficial Ownership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Maximum</w:t>
      </w:r>
      <w:r>
        <w:rPr>
          <w:rFonts w:ascii="Times New Roman" w:cs="Times New Roman" w:eastAsia="Times New Roman" w:hAnsi="Times New Roman"/>
          <w:sz w:val="18"/>
          <w:szCs w:val="18"/>
          <w:color w:val="auto"/>
        </w:rPr>
        <w:t>”), and such Purchaser’s Subscription Amount, to the extent it would otherwise exceed the Beneficial Ownership Maximum immediately prior to the Closing, shall be conditioned upon the issuance of Shares at the Closing to the other Purchasers signatory hereto. To the extent that a Purchaser’s beneficial ownership of the Shares would otherwise be deemed to exceed the Beneficial Ownership Maximum, such Purchaser’s Subscription Amount shall automatically be reduced as necessary in order to comply with this paragraph.</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Deliveries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00" w:hanging="256"/>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(except as indicated below), the Company shall deliver or cause to be delivered to each Purchaser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w:t>
      </w:r>
    </w:p>
    <w:p>
      <w:pPr>
        <w:spacing w:after="0" w:line="206" w:lineRule="exact"/>
        <w:rPr>
          <w:rFonts w:ascii="Times New Roman" w:cs="Times New Roman" w:eastAsia="Times New Roman" w:hAnsi="Times New Roman"/>
          <w:sz w:val="18"/>
          <w:szCs w:val="18"/>
          <w:color w:val="auto"/>
        </w:rPr>
      </w:pPr>
    </w:p>
    <w:p>
      <w:pPr>
        <w:ind w:left="1500" w:hanging="208"/>
        <w:spacing w:after="0"/>
        <w:tabs>
          <w:tab w:leader="none" w:pos="15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the Company;</w:t>
      </w:r>
    </w:p>
    <w:p>
      <w:pPr>
        <w:spacing w:after="0" w:line="225" w:lineRule="exact"/>
        <w:rPr>
          <w:rFonts w:ascii="Times New Roman" w:cs="Times New Roman" w:eastAsia="Times New Roman" w:hAnsi="Times New Roman"/>
          <w:sz w:val="18"/>
          <w:szCs w:val="18"/>
          <w:color w:val="auto"/>
        </w:rPr>
      </w:pPr>
    </w:p>
    <w:p>
      <w:pPr>
        <w:ind w:left="1560" w:hanging="268"/>
        <w:spacing w:after="0"/>
        <w:tabs>
          <w:tab w:leader="none" w:pos="15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legal opinion of Company Counsel, in form and substance reasonably acceptable to the Placement Agent and Thompson</w:t>
      </w:r>
    </w:p>
    <w:p>
      <w:pPr>
        <w:spacing w:after="0" w:line="27"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Hine;</w:t>
      </w:r>
    </w:p>
    <w:p>
      <w:pPr>
        <w:spacing w:after="0" w:line="206" w:lineRule="exact"/>
        <w:rPr>
          <w:rFonts w:ascii="Times New Roman" w:cs="Times New Roman" w:eastAsia="Times New Roman" w:hAnsi="Times New Roman"/>
          <w:sz w:val="18"/>
          <w:szCs w:val="18"/>
          <w:color w:val="auto"/>
        </w:rPr>
      </w:pPr>
    </w:p>
    <w:p>
      <w:pPr>
        <w:ind w:left="1640" w:hanging="348"/>
        <w:spacing w:after="0"/>
        <w:tabs>
          <w:tab w:leader="none" w:pos="16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legal opinion of Company BVI Counsel, in form and substance reasonably acceptable to the Placement Agent and</w:t>
      </w:r>
    </w:p>
    <w:p>
      <w:pPr>
        <w:spacing w:after="0" w:line="27"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Thompson;</w:t>
      </w:r>
    </w:p>
    <w:p>
      <w:pPr>
        <w:spacing w:after="0" w:line="206" w:lineRule="exact"/>
        <w:rPr>
          <w:rFonts w:ascii="Times New Roman" w:cs="Times New Roman" w:eastAsia="Times New Roman" w:hAnsi="Times New Roman"/>
          <w:sz w:val="18"/>
          <w:szCs w:val="18"/>
          <w:color w:val="auto"/>
        </w:rPr>
      </w:pPr>
    </w:p>
    <w:p>
      <w:pPr>
        <w:ind w:left="640" w:firstLine="652"/>
        <w:spacing w:after="0" w:line="282" w:lineRule="auto"/>
        <w:tabs>
          <w:tab w:leader="none" w:pos="16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last sentence of Section 2.1, the Company shall have provided each Purchaser with the Company’s wire instructions, on Company letterhead and executed by the Chief Executive Officer or Chief Financial Officer;</w:t>
      </w:r>
    </w:p>
    <w:p>
      <w:pPr>
        <w:spacing w:after="0" w:line="161" w:lineRule="exact"/>
        <w:rPr>
          <w:rFonts w:ascii="Times New Roman" w:cs="Times New Roman" w:eastAsia="Times New Roman" w:hAnsi="Times New Roman"/>
          <w:sz w:val="18"/>
          <w:szCs w:val="18"/>
          <w:color w:val="auto"/>
        </w:rPr>
      </w:pPr>
    </w:p>
    <w:p>
      <w:pPr>
        <w:jc w:val="both"/>
        <w:ind w:left="640" w:firstLine="652"/>
        <w:spacing w:after="0" w:line="261" w:lineRule="auto"/>
        <w:tabs>
          <w:tab w:leader="none" w:pos="1575"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last sentence of Section 2.1, a copy of the irrevocable instructions to the Transfer Agent instructing the Transfer Agent to deliver on an expedited basis via The Depository Trust Company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Shares equal to such Purchaser’s Subscription Amount divided by the Per Share Purchase Price, registered in the name of such Purchaser; and</w:t>
      </w:r>
    </w:p>
    <w:p>
      <w:pPr>
        <w:spacing w:after="0" w:line="179" w:lineRule="exact"/>
        <w:rPr>
          <w:rFonts w:ascii="Times New Roman" w:cs="Times New Roman" w:eastAsia="Times New Roman" w:hAnsi="Times New Roman"/>
          <w:sz w:val="18"/>
          <w:szCs w:val="18"/>
          <w:color w:val="auto"/>
        </w:rPr>
      </w:pPr>
    </w:p>
    <w:p>
      <w:pPr>
        <w:ind w:left="1600" w:hanging="308"/>
        <w:spacing w:after="0"/>
        <w:tabs>
          <w:tab w:leader="none" w:pos="16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and Prospectus Supplement (which may be delivered in accordance with Rule 172 under the Securities Act).</w:t>
      </w:r>
    </w:p>
    <w:p>
      <w:pPr>
        <w:spacing w:after="0" w:line="225" w:lineRule="exact"/>
        <w:rPr>
          <w:rFonts w:ascii="Times New Roman" w:cs="Times New Roman" w:eastAsia="Times New Roman" w:hAnsi="Times New Roman"/>
          <w:sz w:val="18"/>
          <w:szCs w:val="18"/>
          <w:color w:val="auto"/>
        </w:rPr>
      </w:pPr>
    </w:p>
    <w:p>
      <w:pPr>
        <w:ind w:left="900" w:hanging="256"/>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each Purchaser shall deliver or cause to be delivered to the Company, as applicable, the following:</w:t>
      </w:r>
    </w:p>
    <w:p>
      <w:pPr>
        <w:spacing w:after="0" w:line="225" w:lineRule="exact"/>
        <w:rPr>
          <w:rFonts w:ascii="Times New Roman" w:cs="Times New Roman" w:eastAsia="Times New Roman" w:hAnsi="Times New Roman"/>
          <w:sz w:val="18"/>
          <w:szCs w:val="18"/>
          <w:color w:val="auto"/>
        </w:rPr>
      </w:pPr>
    </w:p>
    <w:p>
      <w:pPr>
        <w:ind w:left="1500" w:hanging="208"/>
        <w:spacing w:after="0"/>
        <w:tabs>
          <w:tab w:leader="none" w:pos="15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such Purchaser; and</w:t>
      </w:r>
    </w:p>
    <w:p>
      <w:pPr>
        <w:spacing w:after="0" w:line="225" w:lineRule="exact"/>
        <w:rPr>
          <w:rFonts w:ascii="Times New Roman" w:cs="Times New Roman" w:eastAsia="Times New Roman" w:hAnsi="Times New Roman"/>
          <w:sz w:val="18"/>
          <w:szCs w:val="18"/>
          <w:color w:val="auto"/>
        </w:rPr>
      </w:pPr>
    </w:p>
    <w:p>
      <w:pPr>
        <w:ind w:left="640" w:firstLine="652"/>
        <w:spacing w:after="0" w:line="282" w:lineRule="auto"/>
        <w:tabs>
          <w:tab w:leader="none" w:pos="1569"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Purchaser’s Subscription Amount, which shall be made available for “Delivery Versus Payment” settlement with the Company or its designee.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Closing Conditions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80" w:hanging="236"/>
        <w:spacing w:after="0"/>
        <w:tabs>
          <w:tab w:leader="none" w:pos="8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hereunder in connection with the Closing are subject to the following conditions being met:</w:t>
      </w:r>
    </w:p>
    <w:p>
      <w:pPr>
        <w:spacing w:after="0" w:line="225" w:lineRule="exact"/>
        <w:rPr>
          <w:rFonts w:ascii="Times New Roman" w:cs="Times New Roman" w:eastAsia="Times New Roman" w:hAnsi="Times New Roman"/>
          <w:sz w:val="18"/>
          <w:szCs w:val="18"/>
          <w:color w:val="auto"/>
        </w:rPr>
      </w:pPr>
    </w:p>
    <w:p>
      <w:pPr>
        <w:jc w:val="both"/>
        <w:ind w:left="640" w:firstLine="652"/>
        <w:spacing w:after="0" w:line="261" w:lineRule="auto"/>
        <w:tabs>
          <w:tab w:leader="none" w:pos="1503"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in all respects) on the Closing Date of the representations and warranties of the Purchasers contained herein (unless as of a specific date therein in which case they shall be accurate in all material respects (or, to the extent representations or warranties are qualified by materiality, in all respects) as of such date);</w:t>
      </w:r>
    </w:p>
    <w:p>
      <w:pPr>
        <w:spacing w:after="0" w:line="18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29" w:name="page30"/>
    <w:bookmarkEnd w:id="29"/>
    <w:p>
      <w:pPr>
        <w:ind w:left="1300" w:right="20" w:firstLine="652"/>
        <w:spacing w:after="0" w:line="282" w:lineRule="auto"/>
        <w:tabs>
          <w:tab w:leader="none" w:pos="2226"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each Purchaser required to be performed at or prior to the Closing Date shall have been performed; and</w:t>
      </w:r>
    </w:p>
    <w:p>
      <w:pPr>
        <w:spacing w:after="0" w:line="161"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each Purchaser of the items set forth in Section 2.2(b) of this Agreement.</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obligations of the Purchasers hereunder in connection with the Closing are subject to the following conditions being</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met:</w:t>
      </w:r>
    </w:p>
    <w:p>
      <w:pPr>
        <w:spacing w:after="0" w:line="207" w:lineRule="exact"/>
        <w:rPr>
          <w:sz w:val="20"/>
          <w:szCs w:val="20"/>
          <w:color w:val="auto"/>
        </w:rPr>
      </w:pPr>
    </w:p>
    <w:p>
      <w:pPr>
        <w:jc w:val="both"/>
        <w:ind w:left="1300" w:firstLine="652"/>
        <w:spacing w:after="0" w:line="261" w:lineRule="auto"/>
        <w:tabs>
          <w:tab w:leader="none" w:pos="217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in all material respects or, to the extent representations or warranties are qualified by materiality or Material Adverse Effect, in all respects) as of such date);</w:t>
      </w:r>
    </w:p>
    <w:p>
      <w:pPr>
        <w:spacing w:after="0" w:line="179" w:lineRule="exact"/>
        <w:rPr>
          <w:rFonts w:ascii="Times New Roman" w:cs="Times New Roman" w:eastAsia="Times New Roman" w:hAnsi="Times New Roman"/>
          <w:sz w:val="18"/>
          <w:szCs w:val="18"/>
          <w:color w:val="auto"/>
        </w:rPr>
      </w:pPr>
    </w:p>
    <w:p>
      <w:pPr>
        <w:ind w:left="1300" w:firstLine="652"/>
        <w:spacing w:after="0" w:line="282" w:lineRule="auto"/>
        <w:tabs>
          <w:tab w:leader="none" w:pos="221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the Company required to be performed at or prior to the Closing Date shall have been performed;</w:t>
      </w:r>
    </w:p>
    <w:p>
      <w:pPr>
        <w:spacing w:after="0" w:line="161"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the Company of the items set forth in Section 2.2(a) of this Agreement;</w:t>
      </w:r>
    </w:p>
    <w:p>
      <w:pPr>
        <w:spacing w:after="0" w:line="22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no Material Adverse Effect with respect to the Company; and</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55" w:lineRule="auto"/>
        <w:tabs>
          <w:tab w:leader="none" w:pos="221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to the Closing Date, trading in the Ordinary Shares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Closing.</w:t>
      </w:r>
    </w:p>
    <w:p>
      <w:pPr>
        <w:spacing w:after="0" w:line="188"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the issuance of the Shares pursuant to this Agreement, on the Closing Date, no fewer than 84,401,542 Ordinary Shares will have been issued and outstanding, and all such issued and outstanding Ordinary Shares shall have been issued prior to or contemporaneously with the issuance of the Shares to the Purchasers.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0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Except as set forth in the Disclosure Schedules, which Disclosure Schedules shall be deemed a part hereof and shall qualify any representation or otherwise made herein to the extent of the disclosure contained in the corresponding section of the Disclosure Schedules, the Company hereby makes the following representations and warranties to each Purchaser:</w:t>
      </w:r>
    </w:p>
    <w:p>
      <w:pPr>
        <w:spacing w:after="0" w:line="176" w:lineRule="exact"/>
        <w:rPr>
          <w:sz w:val="20"/>
          <w:szCs w:val="20"/>
          <w:color w:val="auto"/>
        </w:rPr>
      </w:pPr>
    </w:p>
    <w:p>
      <w:pPr>
        <w:jc w:val="both"/>
        <w:ind w:left="660" w:firstLine="644"/>
        <w:spacing w:after="0" w:line="261" w:lineRule="auto"/>
        <w:tabs>
          <w:tab w:leader="none" w:pos="155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 If the Company has no subsidiaries, all other references to the Subsidiaries or any of them in the Transaction Documents shall be disregarded.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0" w:name="page31"/>
    <w:bookmarkEnd w:id="30"/>
    <w:p>
      <w:pPr>
        <w:jc w:val="both"/>
        <w:ind w:left="-460" w:firstLine="644"/>
        <w:spacing w:after="0" w:line="253" w:lineRule="auto"/>
        <w:tabs>
          <w:tab w:leader="none" w:pos="45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and no Proceeding has been instituted in any such jurisdiction revoking, limiting or curtailing or seeking to revoke, limit or curtail such power and authority or qualification.</w:t>
      </w:r>
    </w:p>
    <w:p>
      <w:pPr>
        <w:spacing w:after="0" w:line="189"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5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Enforcement</w:t>
      </w:r>
      <w:r>
        <w:rPr>
          <w:rFonts w:ascii="Times New Roman" w:cs="Times New Roman" w:eastAsia="Times New Roman" w:hAnsi="Times New Roman"/>
          <w:sz w:val="18"/>
          <w:szCs w:val="18"/>
          <w:color w:val="auto"/>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shareholders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4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by the Company of this Agreement and the other Transaction Documents to which it is a party, the issuance and sale of the Shares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spacing w:after="0" w:line="189"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44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Filings, Consents and Approvals</w:t>
      </w:r>
      <w:r>
        <w:rPr>
          <w:rFonts w:ascii="Times New Roman" w:cs="Times New Roman" w:eastAsia="Times New Roman" w:hAnsi="Times New Roman"/>
          <w:sz w:val="18"/>
          <w:szCs w:val="18"/>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4.4 of this Agreement, (ii) the filing with the Commission of the Prospectus Supplement, (iii) application(s) to each applicable Trading Market for the listing of the Shares for trading thereon in the time and manner required thereby, and (iv) such filings, if any, as are required to be made under applicable state securities laws (collectively, the “</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31" w:name="page32"/>
    <w:bookmarkEnd w:id="31"/>
    <w:p>
      <w:pPr>
        <w:jc w:val="both"/>
        <w:ind w:left="-460" w:firstLine="644"/>
        <w:spacing w:after="0" w:line="252" w:lineRule="auto"/>
        <w:tabs>
          <w:tab w:leader="none" w:pos="42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the Securities; Registration</w:t>
      </w:r>
      <w:r>
        <w:rPr>
          <w:rFonts w:ascii="Times New Roman" w:cs="Times New Roman" w:eastAsia="Times New Roman" w:hAnsi="Times New Roman"/>
          <w:sz w:val="18"/>
          <w:szCs w:val="18"/>
          <w:color w:val="auto"/>
        </w:rPr>
        <w:t>. The Securities are duly authorized and, when issued and paid for in accordance with the applicable Transaction Documents, will be duly and validly issued, fully paid and nonassessable, free and clear of all Liens imposed by the Company. The Company has prepared and filed the Registration Statement in conformity with the requirements of the Securities Act, which became effective on November 12, 2024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including the Prospectus, and such amendments and supplements thereto as may have been required to the date of this Agreement. The Registration Statement is effective under the Securities Act and no stop order preventing or suspending the effectiveness of the Registration Statement or suspending or preventing the use of the Prospectus has been issued by the Commission and no proceedings for that purpose have been instituted or, to the knowledge of the Company, are threatened by the Commission. The Company, if required by the rules and regulations of the Commission, shall file the Prospectus with the Commission pursuant to Rule 424(b). At the time the Registration Statement and any amendments thereto became effective, at the 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and any amendments or supplements thereto, at the time the Prospectus or any amendment or supplement thereto was issued and at the Closing Date, conformed and will conform in all material respects to the requirements of the Securities Act and did not and will not contain an untrue statement of a material fact or omit to state a material fact necessary in order to make the statements therein, in the light of the circumstances under which they were made, not misleading. The Company was at the time of the filing of the Registration Statement eligible to use Form S-3. The Company is eligible to use Form S- 3 under the Securities Act and it meets the transaction requirements with respect to the aggregate market value of securities being sold pursuant to this offering and during the twelve (12) months prior to this offering, as set forth in General Instruction I.B.6 of Form S-3.</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1" w:lineRule="auto"/>
        <w:tabs>
          <w:tab w:leader="none" w:pos="44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xml:space="preserve">. The capitalization of the Company as of the date hereof is as set forth on </w:t>
      </w:r>
      <w:r>
        <w:rPr>
          <w:rFonts w:ascii="Times New Roman" w:cs="Times New Roman" w:eastAsia="Times New Roman" w:hAnsi="Times New Roman"/>
          <w:sz w:val="18"/>
          <w:szCs w:val="18"/>
          <w:u w:val="single" w:color="auto"/>
          <w:color w:val="auto"/>
        </w:rPr>
        <w:t>Schedule 3.1(g)</w:t>
      </w:r>
      <w:r>
        <w:rPr>
          <w:rFonts w:ascii="Times New Roman" w:cs="Times New Roman" w:eastAsia="Times New Roman" w:hAnsi="Times New Roman"/>
          <w:sz w:val="18"/>
          <w:szCs w:val="18"/>
          <w:color w:val="auto"/>
        </w:rPr>
        <w:t xml:space="preserve">. The Company has not issued any capital stock since its most recently filed periodic report under the Exchange Act, other than as set forth in a current report on Form 8-K filed under the Exchange Act or pursuant to the exercise of employee stock options under the Company’s stock option plans, the issuance of Ordinary Shares to employees pursuant to the Company’s employee stock purchase plans and pursuant to the conversion and/or exercise of Ordinary Share Equivalents outstanding as of the date of the most recently filed periodic report under the Exchange Act. No Person has any right of first refusal, preemptive right, right of participation, or any similar right to participate in the transactions contemplated by the Transaction Documents. Except as set forth on </w:t>
      </w:r>
      <w:r>
        <w:rPr>
          <w:rFonts w:ascii="Times New Roman" w:cs="Times New Roman" w:eastAsia="Times New Roman" w:hAnsi="Times New Roman"/>
          <w:sz w:val="18"/>
          <w:szCs w:val="18"/>
          <w:u w:val="single" w:color="auto"/>
          <w:color w:val="auto"/>
        </w:rPr>
        <w:t>Schedule 3.1(g)</w:t>
      </w:r>
      <w:r>
        <w:rPr>
          <w:rFonts w:ascii="Times New Roman" w:cs="Times New Roman" w:eastAsia="Times New Roman" w:hAnsi="Times New Roman"/>
          <w:sz w:val="18"/>
          <w:szCs w:val="18"/>
          <w:color w:val="auto"/>
        </w:rPr>
        <w:t>,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Ordinary Shares or the capital stock of any Subsidiary, or contracts, commitments, understandings or arrangements by which the Company or any Subsidiary is or may become bound to issue additional Ordinary Shares or Ordinary Share Equivalents or capital stock of any Subsidiary. The issuance and sale of the Securities will not obligate the Company or any Subsidiary to issue Ordinary Shares or other securities to any Person (other than the Purchasers). There are no outstanding securities or instruments of the Company or any Subsidiary with any provision that adjusts the exercise, conversion, exchange or reset price of such security or instrument upon an issuance of securities by the Company or any Subsidiary.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No further approval or authorization of any stockholder, the Board of Directors or others is required for the issuance and sale of the Securities. There are no shareholder agreements, voting agreements or other similar agreements with respect to the Company’s capital stock to which the Company is a party or, to the knowledge of the Company, between or among any of the Company’s shareholders.</w:t>
      </w:r>
    </w:p>
    <w:p>
      <w:pPr>
        <w:spacing w:after="0" w:line="20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32" w:name="page33"/>
    <w:bookmarkEnd w:id="32"/>
    <w:p>
      <w:pPr>
        <w:jc w:val="both"/>
        <w:ind w:left="-460" w:firstLine="644"/>
        <w:spacing w:after="0" w:line="252" w:lineRule="auto"/>
        <w:tabs>
          <w:tab w:leader="none" w:pos="44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Reports; Financial Statements</w:t>
      </w:r>
      <w:r>
        <w:rPr>
          <w:rFonts w:ascii="Times New Roman" w:cs="Times New Roman" w:eastAsia="Times New Roman" w:hAnsi="Times New Roman"/>
          <w:sz w:val="18"/>
          <w:szCs w:val="18"/>
          <w:color w:val="auto"/>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together with the Prospectus and the Prospectus Supplement, being collectively referred to herein as the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never been an issuer subject to Rule 144(i) under the Securities Act or, if it has been an issuer subject to Rule 144(i), it is not currently a “shell company” and at least one year has passed since it filed “Form 10 Information” with the Commission.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193"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40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Changes; Undisclosed Events, Liabilities or Developments</w:t>
      </w:r>
      <w:r>
        <w:rPr>
          <w:rFonts w:ascii="Times New Roman" w:cs="Times New Roman" w:eastAsia="Times New Roman" w:hAnsi="Times New Roman"/>
          <w:sz w:val="18"/>
          <w:szCs w:val="18"/>
          <w:color w:val="auto"/>
        </w:rPr>
        <w:t xml:space="preserve">. Since the date of the latest audited financial statements included within the SEC Reports and otherwise disclosed in its SEC Reports filed subsequent thereto, except as set forth on </w:t>
      </w:r>
      <w:r>
        <w:rPr>
          <w:rFonts w:ascii="Times New Roman" w:cs="Times New Roman" w:eastAsia="Times New Roman" w:hAnsi="Times New Roman"/>
          <w:sz w:val="18"/>
          <w:szCs w:val="18"/>
          <w:u w:val="single" w:color="auto"/>
          <w:color w:val="auto"/>
        </w:rPr>
        <w:t>Schedule 3.1(i)</w:t>
      </w:r>
      <w:r>
        <w:rPr>
          <w:rFonts w:ascii="Times New Roman" w:cs="Times New Roman" w:eastAsia="Times New Roman" w:hAnsi="Times New Roman"/>
          <w:sz w:val="18"/>
          <w:szCs w:val="18"/>
          <w:color w:val="auto"/>
        </w:rPr>
        <w:t xml:space="preserve">,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shareholders or purchased, redeemed or made any agreements to purchase or redeem any shares of its capital stock and (v) the Company has not issued any equity securities to any officer, director or Affiliate, except pursuant to existing Company stock option plans. The Company does not have pending before the Commission any request for confidential treatment of information. Except for the issuance of the Securities contemplated by this Agreement or as set forth on </w:t>
      </w:r>
      <w:r>
        <w:rPr>
          <w:rFonts w:ascii="Times New Roman" w:cs="Times New Roman" w:eastAsia="Times New Roman" w:hAnsi="Times New Roman"/>
          <w:sz w:val="18"/>
          <w:szCs w:val="18"/>
          <w:u w:val="single" w:color="auto"/>
          <w:color w:val="auto"/>
        </w:rPr>
        <w:t>Schedule 3.1(i)</w:t>
      </w:r>
      <w:r>
        <w:rPr>
          <w:rFonts w:ascii="Times New Roman" w:cs="Times New Roman" w:eastAsia="Times New Roman" w:hAnsi="Times New Roman"/>
          <w:sz w:val="18"/>
          <w:szCs w:val="18"/>
          <w:color w:val="auto"/>
        </w:rPr>
        <w:t>,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1 Trading Day prior to the date that this representation is made.</w:t>
      </w:r>
    </w:p>
    <w:p>
      <w:pPr>
        <w:spacing w:after="0" w:line="197"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1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3.1(j)</w:t>
      </w:r>
      <w:r>
        <w:rPr>
          <w:rFonts w:ascii="Times New Roman" w:cs="Times New Roman" w:eastAsia="Times New Roman" w:hAnsi="Times New Roman"/>
          <w:sz w:val="18"/>
          <w:szCs w:val="18"/>
          <w:color w:val="auto"/>
        </w:rPr>
        <w:t>,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xml:space="preserve">”). None of the Actions set forth on </w:t>
      </w:r>
      <w:r>
        <w:rPr>
          <w:rFonts w:ascii="Times New Roman" w:cs="Times New Roman" w:eastAsia="Times New Roman" w:hAnsi="Times New Roman"/>
          <w:sz w:val="18"/>
          <w:szCs w:val="18"/>
          <w:u w:val="single" w:color="auto"/>
          <w:color w:val="auto"/>
        </w:rPr>
        <w:t>Schedule 3.1(j)</w:t>
      </w:r>
      <w:r>
        <w:rPr>
          <w:rFonts w:ascii="Times New Roman" w:cs="Times New Roman" w:eastAsia="Times New Roman" w:hAnsi="Times New Roman"/>
          <w:sz w:val="18"/>
          <w:szCs w:val="18"/>
          <w:color w:val="auto"/>
        </w:rPr>
        <w:t>, (i) adversely affects or challenges the legality, validity or enforceability of any of the Transaction Documents or the Securities or (ii) could, if there were an unfavorable decision, have or reasonably be expected to result in a Material Adverse Effect. Neither the Company nor any Subsidiary, nor to the knowledge of the Company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spacing w:after="0" w:line="19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33" w:name="page34"/>
    <w:bookmarkEnd w:id="33"/>
    <w:p>
      <w:pPr>
        <w:jc w:val="both"/>
        <w:ind w:left="-460" w:firstLine="644"/>
        <w:spacing w:after="0" w:line="253" w:lineRule="auto"/>
        <w:tabs>
          <w:tab w:leader="none" w:pos="44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Labor Relations</w:t>
      </w:r>
      <w:r>
        <w:rPr>
          <w:rFonts w:ascii="Times New Roman" w:cs="Times New Roman" w:eastAsia="Times New Roman" w:hAnsi="Times New Roman"/>
          <w:sz w:val="18"/>
          <w:szCs w:val="18"/>
          <w:color w:val="auto"/>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 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40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could not have or reasonably be expected to result in a Material Adverse Effect.</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9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could be reasonably expected to have, individually or in the aggregate, a Material Adverse Effect.</w:t>
      </w:r>
    </w:p>
    <w:p>
      <w:pPr>
        <w:spacing w:after="0" w:line="194"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4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Permits</w:t>
      </w:r>
      <w:r>
        <w:rPr>
          <w:rFonts w:ascii="Times New Roman" w:cs="Times New Roman" w:eastAsia="Times New Roman" w:hAnsi="Times New Roman"/>
          <w:sz w:val="18"/>
          <w:szCs w:val="18"/>
          <w:color w:val="auto"/>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and neither the Company nor any Subsidiary has received any notice of proceedings relating to the revocation or modification of any Material Permit.</w:t>
      </w:r>
    </w:p>
    <w:p>
      <w:pPr>
        <w:spacing w:after="0" w:line="18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34" w:name="page35"/>
    <w:bookmarkEnd w:id="34"/>
    <w:p>
      <w:pPr>
        <w:jc w:val="both"/>
        <w:ind w:left="-460" w:firstLine="644"/>
        <w:spacing w:after="0" w:line="255" w:lineRule="auto"/>
        <w:tabs>
          <w:tab w:leader="none" w:pos="44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Assets</w:t>
      </w:r>
      <w:r>
        <w:rPr>
          <w:rFonts w:ascii="Times New Roman" w:cs="Times New Roman" w:eastAsia="Times New Roman" w:hAnsi="Times New Roman"/>
          <w:sz w:val="18"/>
          <w:szCs w:val="18"/>
          <w:color w:val="auto"/>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(ii) Liens for the payment of federal, state or other taxes, for which appropriate reserves have been made therefor in accordance with GAAP and, the payment of which is neither delinquent nor subject to penalties; and (iii) Lien disclosed in the SEC Reports. Any real property and facilities held under lease by the Company and the Subsidiaries are held by them under valid, subsisting and enforceable leases with which the Company and the Subsidiaries are in compliance.</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5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could have a Material Adverse Effect (collectively, the “</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spacing w:after="0" w:line="189"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45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at least equal to the aggregate Subscription Amount.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42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With Affiliates and Employees</w:t>
      </w:r>
      <w:r>
        <w:rPr>
          <w:rFonts w:ascii="Times New Roman" w:cs="Times New Roman" w:eastAsia="Times New Roman" w:hAnsi="Times New Roman"/>
          <w:sz w:val="18"/>
          <w:szCs w:val="18"/>
          <w:color w:val="auto"/>
        </w:rPr>
        <w:t>. Except as set forth in SEC Reports, none of the executive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option agreements under any stock option plan of the Company.</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43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 Internal Accounting Controls</w:t>
      </w:r>
      <w:r>
        <w:rPr>
          <w:rFonts w:ascii="Times New Roman" w:cs="Times New Roman" w:eastAsia="Times New Roman" w:hAnsi="Times New Roman"/>
          <w:sz w:val="18"/>
          <w:szCs w:val="18"/>
          <w:color w:val="auto"/>
        </w:rPr>
        <w:t>. Except as disclosed in the SEC Reports, the Company and the Subsidiaries are in material compliance with any and all applicable requirements of the Sarbanes-Oxley Act of 2002, as amended that are effective as of the date hereof, and any and all applicable rules and regulations promulgated by the Commission thereunder that are effective as of the date hereof and as of the Closing Date. Except for the material deficiencies disclosed in the SEC Reports,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spacing w:after="0" w:line="19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35" w:name="page36"/>
    <w:bookmarkEnd w:id="35"/>
    <w:p>
      <w:pPr>
        <w:jc w:val="both"/>
        <w:ind w:left="-460" w:firstLine="644"/>
        <w:spacing w:after="0" w:line="258" w:lineRule="auto"/>
        <w:tabs>
          <w:tab w:leader="none" w:pos="40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 Except for fees payable by the Company to the Placement Agent,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4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The Company is not, and is not an Affiliate of, and immediately after receipt of payment for the Securities,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spacing w:after="0" w:line="179"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44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Except as set forth in the SEC Reports, no Person has any right to cause the Company or any Subsidiary to effect the registration under the Securities Act of any securities of the Company or any Subsidiary.</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48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and Maintenance Requirements</w:t>
      </w:r>
      <w:r>
        <w:rPr>
          <w:rFonts w:ascii="Times New Roman" w:cs="Times New Roman" w:eastAsia="Times New Roman" w:hAnsi="Times New Roman"/>
          <w:sz w:val="18"/>
          <w:szCs w:val="18"/>
          <w:color w:val="auto"/>
        </w:rPr>
        <w:t>. The Ordinary Shares are registered pursuant to Section 12(b) or 12(g) of the Exchange Act, and the Company has taken no action designed to, or which to its knowledge is likely to have the effect of, terminating the registration of the Ordinary Shares under the Exchange Act nor has the Company received any notification that the Commission is contemplating terminating such registration. The Company has not, in the 12 months preceding the date hereof, received notice from any Trading Market on which the Ordinary Shares are or have been listed or quoted to the effect that the Company is not in compliance with the listing or maintenance requirements of such Trading Market. The Ordinary Shares are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45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Takeover Protections</w:t>
      </w:r>
      <w:r>
        <w:rPr>
          <w:rFonts w:ascii="Times New Roman" w:cs="Times New Roman" w:eastAsia="Times New Roman" w:hAnsi="Times New Roman"/>
          <w:sz w:val="18"/>
          <w:szCs w:val="18"/>
          <w:color w:val="auto"/>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Securities and the Purchasers’ ownership of the Securities.</w:t>
      </w:r>
    </w:p>
    <w:p>
      <w:pPr>
        <w:spacing w:after="0" w:line="18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36" w:name="page37"/>
    <w:bookmarkEnd w:id="36"/>
    <w:p>
      <w:pPr>
        <w:jc w:val="both"/>
        <w:ind w:left="4" w:firstLine="644"/>
        <w:spacing w:after="0" w:line="253" w:lineRule="auto"/>
        <w:tabs>
          <w:tab w:leader="none" w:pos="90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which is not otherwise disclosed in the Prospectus Supplement.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including the Disclosure Schedules to this Agreement, is true and correct and does not contain any untrue statement of a material fact or omit to state any material fact necessary in order to make the statements made therein, in the light of the circumstances under which they were made, not misleading.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the light of the circumstances under which they were made and when made, not misleading. The Company acknowledges and agrees that no Purchaser makes or has made any representations or warranties with respect to the transactions contemplated hereby other than those specifically set forth in Section 3.2 hereof.</w:t>
      </w:r>
    </w:p>
    <w:p>
      <w:pPr>
        <w:spacing w:after="0" w:line="189" w:lineRule="exact"/>
        <w:rPr>
          <w:rFonts w:ascii="Times New Roman" w:cs="Times New Roman" w:eastAsia="Times New Roman" w:hAnsi="Times New Roman"/>
          <w:sz w:val="18"/>
          <w:szCs w:val="18"/>
          <w:color w:val="auto"/>
        </w:rPr>
      </w:pPr>
    </w:p>
    <w:p>
      <w:pPr>
        <w:jc w:val="both"/>
        <w:ind w:left="4" w:firstLine="644"/>
        <w:spacing w:after="0" w:line="258" w:lineRule="auto"/>
        <w:tabs>
          <w:tab w:leader="none" w:pos="89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Integrated Offering</w:t>
      </w:r>
      <w:r>
        <w:rPr>
          <w:rFonts w:ascii="Times New Roman" w:cs="Times New Roman" w:eastAsia="Times New Roman" w:hAnsi="Times New Roman"/>
          <w:sz w:val="18"/>
          <w:szCs w:val="18"/>
          <w:color w:val="auto"/>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any applicable shareholder approval provisions of any Trading Market on which any of the securities of the Company are listed or designated.</w:t>
      </w:r>
    </w:p>
    <w:p>
      <w:pPr>
        <w:spacing w:after="0" w:line="183" w:lineRule="exact"/>
        <w:rPr>
          <w:sz w:val="20"/>
          <w:szCs w:val="20"/>
          <w:color w:val="auto"/>
        </w:rPr>
      </w:pPr>
    </w:p>
    <w:p>
      <w:pPr>
        <w:jc w:val="both"/>
        <w:ind w:left="4" w:firstLine="644"/>
        <w:spacing w:after="0" w:line="252" w:lineRule="auto"/>
        <w:tabs>
          <w:tab w:leader="none" w:pos="976"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xml:space="preserve">. Based on the consolidated financial condition of the Company as of the Closing Date, after giving effect to the receipt by the Company of the proceeds from the sale of the Securities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ll outstanding secured and unsecured Indebtedness of the Company or any Subsidiary, or for which the Company or any Subsidiary has commitments are disclosed in the SEC Reports. For the purposes of this Agreement,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(x) any liabilities for borrowed money or amounts owed in excess of $50,000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$50,000 due under leases required to be capitalized in accordance with GAAP. Neither the Company nor any Subsidiary is in default with respect to any Indebtedness.</w:t>
      </w:r>
    </w:p>
    <w:p>
      <w:pPr>
        <w:spacing w:after="0" w:line="191" w:lineRule="exact"/>
        <w:rPr>
          <w:rFonts w:ascii="Times New Roman" w:cs="Times New Roman" w:eastAsia="Times New Roman" w:hAnsi="Times New Roman"/>
          <w:sz w:val="18"/>
          <w:szCs w:val="18"/>
          <w:color w:val="auto"/>
        </w:rPr>
      </w:pPr>
    </w:p>
    <w:p>
      <w:pPr>
        <w:jc w:val="both"/>
        <w:ind w:left="4" w:firstLine="644"/>
        <w:spacing w:after="0" w:line="255" w:lineRule="auto"/>
        <w:tabs>
          <w:tab w:leader="none" w:pos="997"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Status</w:t>
      </w:r>
      <w:r>
        <w:rPr>
          <w:rFonts w:ascii="Times New Roman" w:cs="Times New Roman" w:eastAsia="Times New Roman" w:hAnsi="Times New Roman"/>
          <w:sz w:val="18"/>
          <w:szCs w:val="18"/>
          <w:color w:val="auto"/>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w:t>
      </w:r>
    </w:p>
    <w:p>
      <w:pPr>
        <w:spacing w:after="0" w:line="2" w:lineRule="exact"/>
        <w:rPr>
          <w:rFonts w:ascii="Times New Roman" w:cs="Times New Roman" w:eastAsia="Times New Roman" w:hAnsi="Times New Roman"/>
          <w:sz w:val="18"/>
          <w:szCs w:val="18"/>
          <w:color w:val="auto"/>
        </w:rPr>
      </w:pPr>
    </w:p>
    <w:p>
      <w:pPr>
        <w:jc w:val="both"/>
        <w:ind w:left="4" w:hanging="4"/>
        <w:spacing w:after="0" w:line="255" w:lineRule="auto"/>
        <w:tabs>
          <w:tab w:leader="none" w:pos="32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spacing w:after="0" w:line="186"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37" w:name="page38"/>
    <w:bookmarkEnd w:id="37"/>
    <w:p>
      <w:pPr>
        <w:jc w:val="both"/>
        <w:ind w:left="4" w:firstLine="644"/>
        <w:spacing w:after="0" w:line="256" w:lineRule="auto"/>
        <w:tabs>
          <w:tab w:leader="none" w:pos="976"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Corrupt Practices</w:t>
      </w:r>
      <w:r>
        <w:rPr>
          <w:rFonts w:ascii="Times New Roman" w:cs="Times New Roman" w:eastAsia="Times New Roman" w:hAnsi="Times New Roman"/>
          <w:sz w:val="18"/>
          <w:szCs w:val="18"/>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spacing w:after="0" w:line="187" w:lineRule="exact"/>
        <w:rPr>
          <w:rFonts w:ascii="Times New Roman" w:cs="Times New Roman" w:eastAsia="Times New Roman" w:hAnsi="Times New Roman"/>
          <w:sz w:val="18"/>
          <w:szCs w:val="18"/>
          <w:color w:val="auto"/>
        </w:rPr>
      </w:pPr>
    </w:p>
    <w:p>
      <w:pPr>
        <w:jc w:val="both"/>
        <w:ind w:left="4" w:right="20" w:firstLine="644"/>
        <w:spacing w:after="0" w:line="266" w:lineRule="auto"/>
        <w:tabs>
          <w:tab w:leader="none" w:pos="102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Accountants</w:t>
      </w:r>
      <w:r>
        <w:rPr>
          <w:rFonts w:ascii="Times New Roman" w:cs="Times New Roman" w:eastAsia="Times New Roman" w:hAnsi="Times New Roman"/>
          <w:sz w:val="18"/>
          <w:szCs w:val="18"/>
          <w:color w:val="auto"/>
        </w:rPr>
        <w:t>. The Company’s accounting firm is ASA &amp; Associates LLP. To the knowledge and belief of the Company, such accounting firm (i) is a registered public accounting firm as required by the Exchange Act and (ii) shall express its opinion with respect to the financial statements to be included in the Company’s Annual Report for the fiscal year ending March 31, 2026.</w:t>
      </w:r>
    </w:p>
    <w:p>
      <w:pPr>
        <w:spacing w:after="0" w:line="175" w:lineRule="exact"/>
        <w:rPr>
          <w:rFonts w:ascii="Times New Roman" w:cs="Times New Roman" w:eastAsia="Times New Roman" w:hAnsi="Times New Roman"/>
          <w:sz w:val="18"/>
          <w:szCs w:val="18"/>
          <w:color w:val="auto"/>
        </w:rPr>
      </w:pPr>
    </w:p>
    <w:p>
      <w:pPr>
        <w:jc w:val="both"/>
        <w:ind w:left="4" w:firstLine="644"/>
        <w:spacing w:after="0" w:line="254" w:lineRule="auto"/>
        <w:tabs>
          <w:tab w:leader="none" w:pos="976"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Purchase of Securities</w:t>
      </w:r>
      <w:r>
        <w:rPr>
          <w:rFonts w:ascii="Times New Roman" w:cs="Times New Roman" w:eastAsia="Times New Roman" w:hAnsi="Times New Roman"/>
          <w:sz w:val="18"/>
          <w:szCs w:val="18"/>
          <w:color w:val="auto"/>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spacing w:after="0" w:line="191" w:lineRule="exact"/>
        <w:rPr>
          <w:rFonts w:ascii="Times New Roman" w:cs="Times New Roman" w:eastAsia="Times New Roman" w:hAnsi="Times New Roman"/>
          <w:sz w:val="18"/>
          <w:szCs w:val="18"/>
          <w:color w:val="auto"/>
        </w:rPr>
      </w:pPr>
    </w:p>
    <w:p>
      <w:pPr>
        <w:jc w:val="both"/>
        <w:ind w:left="4" w:firstLine="644"/>
        <w:spacing w:after="0" w:line="253" w:lineRule="auto"/>
        <w:tabs>
          <w:tab w:leader="none" w:pos="97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Trading Activity</w:t>
      </w:r>
      <w:r>
        <w:rPr>
          <w:rFonts w:ascii="Times New Roman" w:cs="Times New Roman" w:eastAsia="Times New Roman" w:hAnsi="Times New Roman"/>
          <w:sz w:val="18"/>
          <w:szCs w:val="18"/>
          <w:color w:val="auto"/>
        </w:rPr>
        <w:t>. Anything in this Agreement or elsewhere herein to the contrary notwithstanding (except for Section 3.2(f)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Shares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Ordinary Shares,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Securities are outstanding, and (z) such hedging activities (if any) could reduce the value of the existing shareholders’ equity interests in the Company at and after the time that the hedging activities are being conducted. The Company acknowledges that such aforementioned hedging activities do not constitute a breach of any of the Transaction Documents.</w:t>
      </w:r>
    </w:p>
    <w:p>
      <w:pPr>
        <w:spacing w:after="0" w:line="189" w:lineRule="exact"/>
        <w:rPr>
          <w:rFonts w:ascii="Times New Roman" w:cs="Times New Roman" w:eastAsia="Times New Roman" w:hAnsi="Times New Roman"/>
          <w:sz w:val="18"/>
          <w:szCs w:val="18"/>
          <w:color w:val="auto"/>
        </w:rPr>
      </w:pPr>
    </w:p>
    <w:p>
      <w:pPr>
        <w:jc w:val="both"/>
        <w:ind w:left="4" w:firstLine="644"/>
        <w:spacing w:after="0" w:line="257" w:lineRule="auto"/>
        <w:tabs>
          <w:tab w:leader="none" w:pos="102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Regulation M Compliance</w:t>
      </w:r>
      <w:r>
        <w:rPr>
          <w:rFonts w:ascii="Times New Roman" w:cs="Times New Roman" w:eastAsia="Times New Roman" w:hAnsi="Times New Roman"/>
          <w:sz w:val="18"/>
          <w:szCs w:val="18"/>
          <w:color w:val="auto"/>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w:t>
      </w:r>
    </w:p>
    <w:p>
      <w:pPr>
        <w:spacing w:after="0" w:line="1" w:lineRule="exact"/>
        <w:rPr>
          <w:rFonts w:ascii="Times New Roman" w:cs="Times New Roman" w:eastAsia="Times New Roman" w:hAnsi="Times New Roman"/>
          <w:sz w:val="18"/>
          <w:szCs w:val="18"/>
          <w:color w:val="auto"/>
        </w:rPr>
      </w:pPr>
    </w:p>
    <w:p>
      <w:pPr>
        <w:ind w:left="4" w:hanging="4"/>
        <w:spacing w:after="0" w:line="260" w:lineRule="auto"/>
        <w:tabs>
          <w:tab w:leader="none" w:pos="31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or agreed to pay to any Person any compensation for soliciting another to purchase any other securities of the Company, other than, in the case of clauses (ii) and (iii), compensation paid to the Placement Agent in connection with the placement of the Securities.</w:t>
      </w:r>
    </w:p>
    <w:p>
      <w:pPr>
        <w:spacing w:after="0" w:line="181"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38" w:name="page39"/>
    <w:bookmarkEnd w:id="38"/>
    <w:p>
      <w:pPr>
        <w:ind w:left="1640" w:hanging="336"/>
        <w:spacing w:after="0"/>
        <w:tabs>
          <w:tab w:leader="none" w:pos="1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57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Cybersecurity</w:t>
      </w:r>
      <w:r>
        <w:rPr>
          <w:rFonts w:ascii="Times New Roman" w:cs="Times New Roman" w:eastAsia="Times New Roman" w:hAnsi="Times New Roman"/>
          <w:sz w:val="18"/>
          <w:szCs w:val="18"/>
          <w:color w:val="auto"/>
        </w:rPr>
        <w:t>. Except as would not reasonably be expected to result in a Material Adverse Effect, (i)(x) There has been no security breach or other compromise of or relating to any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 w:cs="Times New Roman" w:eastAsia="Times New Roman" w:hAnsi="Times New Roman"/>
          <w:sz w:val="18"/>
          <w:szCs w:val="18"/>
          <w:u w:val="single" w:color="auto"/>
          <w:color w:val="auto"/>
        </w:rPr>
        <w:t>IT Systems and Data</w:t>
      </w:r>
      <w:r>
        <w:rPr>
          <w:rFonts w:ascii="Times New Roman" w:cs="Times New Roman" w:eastAsia="Times New Roman" w:hAnsi="Times New Roman"/>
          <w:sz w:val="18"/>
          <w:szCs w:val="18"/>
          <w:color w:val="auto"/>
        </w:rPr>
        <w:t>”) and (y) the Company and the Subsidiaries have not been notified of, and has no knowledge of any event or condition that would reasonably be expected to result in, any security breach or other compromise to its IT Systems and Data; (ii) the Company and the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individually or in the aggregate, have a Material Adverse Effect; (iii) the Company and the Subsidiaries have implemented and maintained commercially reasonable safeguards to maintain and protect its material confidential information and the integrity, continuous operation, redundancy and security of all IT Systems and Data; and (iv) the Company and the Subsidiaries have implemented backup and disaster recovery technology consistent with industry standards and practices.</w:t>
      </w:r>
    </w:p>
    <w:p>
      <w:pPr>
        <w:spacing w:after="0" w:line="189"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57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 Plans</w:t>
      </w:r>
      <w:r>
        <w:rPr>
          <w:rFonts w:ascii="Times New Roman" w:cs="Times New Roman" w:eastAsia="Times New Roman" w:hAnsi="Times New Roman"/>
          <w:sz w:val="18"/>
          <w:szCs w:val="18"/>
          <w:color w:val="auto"/>
        </w:rPr>
        <w:t>. Each stock option granted by the Company under the Company’s stock option plan was granted (i) in accordance with the terms of the Company’s stock option plan and (ii) with an exercise price at least equal to the fair market value of the Ordinary Shares on the date such stock option would be considered granted under GAAP and applicable law. No stock option granted under the Company’s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spacing w:after="0" w:line="187"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65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 of Foreign Assets Control</w:t>
      </w:r>
      <w:r>
        <w:rPr>
          <w:rFonts w:ascii="Times New Roman" w:cs="Times New Roman" w:eastAsia="Times New Roman" w:hAnsi="Times New Roman"/>
          <w:sz w:val="18"/>
          <w:szCs w:val="18"/>
          <w:color w:val="auto"/>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7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 Real Property Holding Corporation</w:t>
      </w:r>
      <w:r>
        <w:rPr>
          <w:rFonts w:ascii="Times New Roman" w:cs="Times New Roman" w:eastAsia="Times New Roman" w:hAnsi="Times New Roman"/>
          <w:sz w:val="18"/>
          <w:szCs w:val="18"/>
          <w:color w:val="auto"/>
        </w:rPr>
        <w:t>. The Company is not and has never been a U.S. real property holding corporation within the meaning of Section 897 of the Internal Revenue Code of 1986, as amended, and the Company shall so certify upon Purchaser’s request.</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7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 Holding Company Act</w:t>
      </w:r>
      <w:r>
        <w:rPr>
          <w:rFonts w:ascii="Times New Roman" w:cs="Times New Roman" w:eastAsia="Times New Roman" w:hAnsi="Times New Roman"/>
          <w:sz w:val="18"/>
          <w:szCs w:val="18"/>
          <w:color w:val="auto"/>
        </w:rPr>
        <w:t>. Neither the Company nor any of its Subsidiaries or Affiliates is subject to the Bank Holding Company Act of 1956, as amended (the “</w:t>
      </w:r>
      <w:r>
        <w:rPr>
          <w:rFonts w:ascii="Times New Roman" w:cs="Times New Roman" w:eastAsia="Times New Roman" w:hAnsi="Times New Roman"/>
          <w:sz w:val="18"/>
          <w:szCs w:val="18"/>
          <w:u w:val="single" w:color="auto"/>
          <w:color w:val="auto"/>
        </w:rPr>
        <w:t>BHCA</w:t>
      </w:r>
      <w:r>
        <w:rPr>
          <w:rFonts w:ascii="Times New Roman" w:cs="Times New Roman" w:eastAsia="Times New Roman" w:hAnsi="Times New Roman"/>
          <w:sz w:val="18"/>
          <w:szCs w:val="18"/>
          <w:color w:val="auto"/>
        </w:rPr>
        <w:t>”) and to regulation by the Board of Governors of the Federal Reserve System (the “</w:t>
      </w:r>
      <w:r>
        <w:rPr>
          <w:rFonts w:ascii="Times New Roman" w:cs="Times New Roman" w:eastAsia="Times New Roman" w:hAnsi="Times New Roman"/>
          <w:sz w:val="18"/>
          <w:szCs w:val="18"/>
          <w:u w:val="single" w:color="auto"/>
          <w:color w:val="auto"/>
        </w:rPr>
        <w:t>Federal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Reserve</w:t>
      </w:r>
      <w:r>
        <w:rPr>
          <w:rFonts w:ascii="Times New Roman" w:cs="Times New Roman" w:eastAsia="Times New Roman" w:hAnsi="Times New Roman"/>
          <w:sz w:val="18"/>
          <w:szCs w:val="18"/>
          <w:color w:val="auto"/>
        </w:rPr>
        <w:t>”). Neither the Company nor any of its Subsidiaries or Affiliates owns or controls, directly or indirectly, five percent (5%) or more of the outstanding shares of any class of voting securities or twenty-five percent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187"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65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Money Laundering</w:t>
      </w:r>
      <w:r>
        <w:rPr>
          <w:rFonts w:ascii="Times New Roman" w:cs="Times New Roman" w:eastAsia="Times New Roman" w:hAnsi="Times New Roman"/>
          <w:sz w:val="18"/>
          <w:szCs w:val="18"/>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Representations and Warranties of the Purchasers</w:t>
      </w:r>
      <w:r>
        <w:rPr>
          <w:rFonts w:ascii="Times New Roman" w:cs="Times New Roman" w:eastAsia="Times New Roman" w:hAnsi="Times New Roman"/>
          <w:sz w:val="18"/>
          <w:szCs w:val="18"/>
          <w:color w:val="auto"/>
        </w:rPr>
        <w:t>. Each Purchaser, for itself and for no other Purchaser, hereby represents and warrants as of the date hereof and as of the Closing Date to the Company as follows (unless as of a specific date therein, in which case they shall be accurate as of such date):</w:t>
      </w:r>
    </w:p>
    <w:p>
      <w:pPr>
        <w:spacing w:after="0" w:line="176" w:lineRule="exact"/>
        <w:rPr>
          <w:sz w:val="20"/>
          <w:szCs w:val="20"/>
          <w:color w:val="auto"/>
        </w:rPr>
      </w:pPr>
    </w:p>
    <w:p>
      <w:pPr>
        <w:jc w:val="both"/>
        <w:ind w:left="660" w:firstLine="644"/>
        <w:spacing w:after="0" w:line="253" w:lineRule="auto"/>
        <w:tabs>
          <w:tab w:leader="none" w:pos="155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Authority</w:t>
      </w:r>
      <w:r>
        <w:rPr>
          <w:rFonts w:ascii="Times New Roman" w:cs="Times New Roman" w:eastAsia="Times New Roman" w:hAnsi="Times New Roman"/>
          <w:sz w:val="18"/>
          <w:szCs w:val="18"/>
          <w:color w:val="auto"/>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9" w:name="page40"/>
    <w:bookmarkEnd w:id="39"/>
    <w:p>
      <w:pPr>
        <w:jc w:val="both"/>
        <w:ind w:left="-460" w:firstLine="644"/>
        <w:spacing w:after="0" w:line="261" w:lineRule="auto"/>
        <w:tabs>
          <w:tab w:leader="none" w:pos="45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Understandings or Arrangements</w:t>
      </w:r>
      <w:r>
        <w:rPr>
          <w:rFonts w:ascii="Times New Roman" w:cs="Times New Roman" w:eastAsia="Times New Roman" w:hAnsi="Times New Roman"/>
          <w:sz w:val="18"/>
          <w:szCs w:val="18"/>
          <w:color w:val="auto"/>
        </w:rPr>
        <w:t>. Such Purchaser is acquiring the Securities as principal for its own account and has no direct or indirect arrangement or understandings with any other persons to distribute or regarding the distribution of such Securities (this representation and warranty not limiting such Purchaser’s right to sell the Securities pursuant to the Registration Statement or otherwise in compliance with applicable federal and state securities laws). Such Purchaser is acquiring the Securities hereunder in the ordinary course of its business.</w:t>
      </w:r>
    </w:p>
    <w:p>
      <w:pPr>
        <w:spacing w:after="0" w:line="179" w:lineRule="exact"/>
        <w:rPr>
          <w:rFonts w:ascii="Times New Roman" w:cs="Times New Roman" w:eastAsia="Times New Roman" w:hAnsi="Times New Roman"/>
          <w:sz w:val="18"/>
          <w:szCs w:val="18"/>
          <w:color w:val="auto"/>
        </w:rPr>
      </w:pPr>
    </w:p>
    <w:p>
      <w:pPr>
        <w:ind w:left="-460" w:firstLine="644"/>
        <w:spacing w:after="0" w:line="282" w:lineRule="auto"/>
        <w:tabs>
          <w:tab w:leader="none" w:pos="43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Purchaser Status</w:t>
      </w:r>
      <w:r>
        <w:rPr>
          <w:rFonts w:ascii="Times New Roman" w:cs="Times New Roman" w:eastAsia="Times New Roman" w:hAnsi="Times New Roman"/>
          <w:sz w:val="18"/>
          <w:szCs w:val="18"/>
          <w:color w:val="auto"/>
        </w:rPr>
        <w:t>. At the time such Purchaser was offered the Securities, it was, and as of the date hereof it is, an “accredited investor” as defined in Rule 501(a)(1), (a)(2), (a)(3), (a)(7), (a)(8), (a)(9), (a)(12), or (a)(13) under the Securities Act.</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4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Experience of Such Purchaser</w:t>
      </w:r>
      <w:r>
        <w:rPr>
          <w:rFonts w:ascii="Times New Roman" w:cs="Times New Roman" w:eastAsia="Times New Roman" w:hAnsi="Times New Roman"/>
          <w:sz w:val="18"/>
          <w:szCs w:val="18"/>
          <w:color w:val="auto"/>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3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Placement Agent nor any Affiliate of the Placement Agent has provided such Purchaser with any information or advice with respect to the Securities nor is such information or advice necessary or desired. Neither the Placement Agent nor any Affiliate has made or makes any representation as to the Company or the quality of the Securities and the Placement Agent and any Affiliate may have acquired non-public information with respect to the Company which such Purchaser agrees need not be provided to it. In connection with the issuance of the Securities to such Purchaser, neither the Placement Agent nor any of its Affiliates has acted as a financial advisor or fiduciary to such Purchaser.</w:t>
      </w:r>
    </w:p>
    <w:p>
      <w:pPr>
        <w:spacing w:after="0" w:line="189"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41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pricing terms of the transactions contemplated hereunder and ending immediately prior to the execution hereof. Notwithstanding the foregoing, in the case of a Purchaser that is a multi- 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9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40" w:name="page41"/>
    <w:bookmarkEnd w:id="40"/>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OTHER AGREEMENTS OF THE PARTIES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Removal of Legends</w:t>
      </w:r>
      <w:r>
        <w:rPr>
          <w:rFonts w:ascii="Times New Roman" w:cs="Times New Roman" w:eastAsia="Times New Roman" w:hAnsi="Times New Roman"/>
          <w:sz w:val="18"/>
          <w:szCs w:val="18"/>
          <w:color w:val="auto"/>
        </w:rPr>
        <w:t>. The Shares, shall be issued free of legends.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Furnishing of Information</w:t>
      </w:r>
      <w:r>
        <w:rPr>
          <w:rFonts w:ascii="Times New Roman" w:cs="Times New Roman" w:eastAsia="Times New Roman" w:hAnsi="Times New Roman"/>
          <w:sz w:val="18"/>
          <w:szCs w:val="18"/>
          <w:color w:val="auto"/>
        </w:rPr>
        <w:t>. Until the time that no Purchaser owns Shares, the Company covenants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The Company shall not sell, offer for sale or solicit offers to buy or otherwise negotiate in respect of any security (as defined in Section 2 of the Securities Act)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Securities Laws Disclosure; Publicity</w:t>
      </w:r>
      <w:r>
        <w:rPr>
          <w:rFonts w:ascii="Times New Roman" w:cs="Times New Roman" w:eastAsia="Times New Roman" w:hAnsi="Times New Roman"/>
          <w:sz w:val="18"/>
          <w:szCs w:val="18"/>
          <w:color w:val="auto"/>
        </w:rPr>
        <w:t>. The Company shall (a) by the Disclosure Time, issue a press release disclosing the material terms of the transactions contemplated hereby, and (b) file a Current Report on Form 8-K,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Affiliates or agents, including, without limitation, the Placement Agent,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agents, employees, Affiliates or agents, including, without limitation, the Placement Agent, on the one hand, and any of the Purchasers or any of their Affiliates on the other hand, shall terminate and be of no further force or effect. The Company understands and confirms that each Purchaser shall be relying on the foregoing covenant in effecting transactions in securities of the Company.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the filing of final Transaction Documents with the Commission and (b) to the extent such disclosure is required by law or Trading Market regulations, in which case the Company shall provide the Purchasers with prior notice of such disclosure permitted under this clause (b) and reasonably cooperate with such Purchaser regarding such disclosure.</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1" w:name="page42"/>
    <w:bookmarkEnd w:id="4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Shareholder Rights Plan</w:t>
      </w:r>
      <w:r>
        <w:rPr>
          <w:rFonts w:ascii="Times New Roman" w:cs="Times New Roman" w:eastAsia="Times New Roman" w:hAnsi="Times New Roman"/>
          <w:sz w:val="18"/>
          <w:szCs w:val="18"/>
          <w:color w:val="auto"/>
        </w:rPr>
        <w:t>. No claim will be made or enforced by the Company or, with the consent of the Company, any other Person, that any Purchaser is an “</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Non-Public Information</w:t>
      </w:r>
      <w:r>
        <w:rPr>
          <w:rFonts w:ascii="Times New Roman" w:cs="Times New Roman" w:eastAsia="Times New Roman" w:hAnsi="Times New Roman"/>
          <w:sz w:val="18"/>
          <w:szCs w:val="18"/>
          <w:color w:val="auto"/>
        </w:rPr>
        <w:t>. Except with respect to the material terms and conditions of the transactions contemplated by the Transaction Documents, which shall be disclosed pursuant to Section 4.4,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in writing to the receipt of such information and agreed in writing with the Company to keep such information confidential. The Company understands and confirms that each Purchaser shall be relying on the foregoing covenant in effecting transactions in securities of the Company. To the extent that the Company, any of its Subsidiaries, or any of their respective officers, directors, agents, employees or Affiliates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employees, Affiliates or agents, including, without limitation, the Placement Agent, or a duty to the Company, any of its Subsidiaries or any of their respective officers, directors, employees, Affiliates or agents, including, without limitation, the Placement Agent,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with the delivery of such notice file such notice with the Commission pursuant to a Current Report on Form 8-K. The Company understands and confirms that each Purchaser shall be relying on the foregoing covenant in effecting transactions in securities of the Company.</w:t>
      </w:r>
    </w:p>
    <w:p>
      <w:pPr>
        <w:spacing w:after="0" w:line="19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4.7</w:t>
      </w:r>
      <w:r>
        <w:rPr>
          <w:rFonts w:ascii="Times New Roman" w:cs="Times New Roman" w:eastAsia="Times New Roman" w:hAnsi="Times New Roman"/>
          <w:sz w:val="18"/>
          <w:szCs w:val="18"/>
          <w:color w:val="auto"/>
        </w:rPr>
        <w:t xml:space="preserve"> attached hereto, the Company shall use the net proceeds from the sale of the Securities hereunder for working capital purposes and to repay some indebtedness, and shall not use such proceeds: (a) for the redemption of any Ordinary Shares or Ordinary Share Equivalents, (b) for the settlement of any outstanding litigation or (c) in violation of FCPA or OFAC regulations.</w:t>
      </w:r>
    </w:p>
    <w:p>
      <w:pPr>
        <w:spacing w:after="0" w:line="17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Indemnification of Purchasers</w:t>
      </w:r>
      <w:r>
        <w:rPr>
          <w:rFonts w:ascii="Times New Roman" w:cs="Times New Roman" w:eastAsia="Times New Roman" w:hAnsi="Times New Roman"/>
          <w:sz w:val="18"/>
          <w:szCs w:val="18"/>
          <w:color w:val="auto"/>
        </w:rPr>
        <w:t>. Subject to the provisions of this Section 4.8,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“Purchaser Party”)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the Purchaser Parties in any capacity, or any of them or their respective Affiliates, by any stockholder of the Company who is not an Affiliate of such Purchaser Party, arising out of or relating to any of the transactions contemplated by the Transaction Documents (unless such action arises or relates to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(i) the employment thereof has been specifically authorized by the Company in writing, (ii) the Company has failed after a reasonable period of time to assume such defense and to employ counsel or (iii)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(y) for any settlement by a Purchaser Party effected without the Company’s prior written consent, which shall not be unreasonably withheld or delayed; or (z) to the extent, but only to the extent that a loss, claim, damage or liability is attributable to any Purchaser Party’s breach of any of the representations, other Transaction Documents. The indemnification required by this Section 4.8 shall be made by periodic payments of the amount thereof during the course of the investigation or defense, as and when bills are received or are incurred. The indemnity agreements contained herein shall be in addition to any cause of action or similar right of any Purchaser Party against the Company or others and any liabilities the Company may be subject to pursuant to law.</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2" w:name="page43"/>
    <w:bookmarkEnd w:id="4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Reservation of Ordinary Shares</w:t>
      </w:r>
      <w:r>
        <w:rPr>
          <w:rFonts w:ascii="Times New Roman" w:cs="Times New Roman" w:eastAsia="Times New Roman" w:hAnsi="Times New Roman"/>
          <w:sz w:val="18"/>
          <w:szCs w:val="18"/>
          <w:color w:val="auto"/>
        </w:rPr>
        <w:t>. As of the date hereof, the Company has reserved and the Company shall continue to reserve and keep available at all times, free of preemptive rights, a sufficient number of Ordinary Shares for the purpose of enabling the Company to issue Shares pursuant to this Agreement.</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Listing of Ordinary Shares</w:t>
      </w:r>
      <w:r>
        <w:rPr>
          <w:rFonts w:ascii="Times New Roman" w:cs="Times New Roman" w:eastAsia="Times New Roman" w:hAnsi="Times New Roman"/>
          <w:sz w:val="18"/>
          <w:szCs w:val="18"/>
          <w:color w:val="auto"/>
        </w:rPr>
        <w:t>. The Company hereby agrees to use reasonable best efforts to maintain the listing or quotation of the Ordinary Shares on the Trading Market on which it is currently listed, and concurrently with the Closing, the Company shall apply to list or quote all of the Shares on such Trading Market and promptly secure the listing of all of the Shares on such Trading Market. The Company further agrees, if the Company applies to have the Ordinary Shares traded on any other Trading Market, it will then include in such application all of the Shares and will take such other action as is necessary to cause all of the Shares to be listed or quoted on such other Trading Market as promptly as possible. The Company will then take all action reasonably necessary to continue the listing and trading of its Ordinary Shares on a Trading Market and will comply in all respects with the Company’s reporting, filing and other obligations under the bylaws or rules of the Trading Market. For so long as the Company maintains a listing or quotation of the Ordinary Shares on a Trading Market, the Company agrees to maintain the eligibility of the Ordinary Shares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Subsequent Equity Sales</w:t>
      </w:r>
      <w:r>
        <w:rPr>
          <w:rFonts w:ascii="Times New Roman" w:cs="Times New Roman" w:eastAsia="Times New Roman" w:hAnsi="Times New Roman"/>
          <w:sz w:val="18"/>
          <w:szCs w:val="18"/>
          <w:color w:val="auto"/>
        </w:rPr>
        <w:t>. From the date hereof until twenty (20) days after the Closing Date, neither the Company nor any Subsidiary shall</w:t>
      </w:r>
    </w:p>
    <w:p>
      <w:pPr>
        <w:spacing w:after="0" w:line="27" w:lineRule="exact"/>
        <w:rPr>
          <w:sz w:val="20"/>
          <w:szCs w:val="20"/>
          <w:color w:val="auto"/>
        </w:rPr>
      </w:pPr>
    </w:p>
    <w:p>
      <w:pPr>
        <w:jc w:val="both"/>
        <w:ind w:firstLine="8"/>
        <w:spacing w:after="0" w:line="255" w:lineRule="auto"/>
        <w:tabs>
          <w:tab w:leader="none" w:pos="21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enter into any agreement to issue or announce the issuance or proposed issuance of any Ordinary Shares or Ordinary Share Equivalents, other than any Exempt Issuance, or (ii) file any registration statement or amendment or supplement thereto, other than the Prospectus Supplement or filing a registration statement on Form S-8 in connection with any employee benefit plan.</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Equal Treatment of Purchasers</w:t>
      </w:r>
      <w:r>
        <w:rPr>
          <w:rFonts w:ascii="Times New Roman" w:cs="Times New Roman" w:eastAsia="Times New Roman" w:hAnsi="Times New Roman"/>
          <w:sz w:val="18"/>
          <w:szCs w:val="18"/>
          <w:color w:val="auto"/>
        </w:rPr>
        <w:t>. No consideration (including any modification of this Agreement) shall be offered or paid to any Person to amend or consent to a waiver or modification of any provision of this Agreement unless the same consideration is also offered to all of the parties to this Agreement.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Shares or otherwise.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3" w:name="page44"/>
    <w:bookmarkEnd w:id="43"/>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 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 and the information included in the Disclosure Schedules (other than as disclosed to its legal and other representatives).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no Purchaser shall have any duty of confidentiality or duty not to trade in the securities of the Company to the Company, any of its Subsidiaries, or any of their respective officers, directors, employees, Affiliates, or agent, including, without limitation, the Placement Agent, after the issuance of the initial press release as described in Section 4.4.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Shares covered by this Agreement and in the case of a Purchaser that has implemented internal information barriers pursuant to an information controls policy to ‘wall off’ certain trading personnel, this Section 4.13 shall apply only with respect to activities of such walled-off trading personnel.</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4.15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4.16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4.17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4.18 </w:t>
      </w: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Each Purchaser covenants and agrees that neither it nor any Affiliate acting on its behalf or pursuant to any understanding with it will execute any Short Sales of the Ordinary Shares during the period commencing with the execution of this Agreement and ending at such time that the transactions contemplated by this Agreement are first publicly announced pursuant to the initial press release as described in Section 4.4.</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Agreement may be terminated by any Purchaser, as to such Purchaser’s obligations hereunder only and without any effect whatsoever on the obligations between the Company and the other Purchasers, by written notice to the other parties, if the Closing has not been consummated on or before the fifth (5th) Trading Day following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termination will affect the right of any party to sue for any breach by any other party (or parties).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Shares to the Purchasers.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4" w:name="page45"/>
    <w:bookmarkEnd w:id="4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Transaction Documents, together with the exhibits and schedules thereto, the Prospectus and the Prospectus Supplement,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in writing and shall be deemed given and effective on the earliest of: (a) the time of transmission, if such notice or communication is delivered via email attachment at the email address as set forth on the signature pages attached hereto at or prior to 5:30 p.m. (New York City time) on a Trading Day, (b) the next Trading Day after the time of transmission, if such notice or communication is delivered via email attachment at the email address as set forth on the signature pages attached hereto on a day that is not a Trading Day or later than 5:30 p.m. (New York City time) on any Trading Day, (c) the second (2nd)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 To the extent that any notice provided pursuant to any Transaction Document constitutes, or contains, material, non-public information regarding the Company or any Subsidiaries, the Company shall simultaneously file such notice with the Commission pursuant to a Report on Form 8-K.</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Amendments; Waivers</w:t>
      </w:r>
      <w:r>
        <w:rPr>
          <w:rFonts w:ascii="Times New Roman" w:cs="Times New Roman" w:eastAsia="Times New Roman" w:hAnsi="Times New Roman"/>
          <w:sz w:val="18"/>
          <w:szCs w:val="18"/>
          <w:color w:val="auto"/>
        </w:rPr>
        <w:t>. No provision of this Agreement may be waived, modified, supplemented or amended except in a written instrument signed, in the case of an amendment, by the Company and Purchasers which purchased at least 50.1% in interest of the Shares based on the initial Subscription Amounts hereunder (or, prior to the Closing, the Company and each Purchaser) or, in the case of a waiver, by the party against whom enforcement of any such waived provision is sought, provided that if any amendment, modification or waiver disproportionately and adversely impacts a Purchaser (or group of Purchasers), the consent of such disproportionately impacted Purchaser (or group of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Shares and the Company.</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for convenience only, do not constitute a part of this Agreement and shall not be deemed to limit or affect any of the provisions hereof.</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provided that such transferee agrees in writing to be bound, with respect to the transferred Securities, by the provisions of the Transaction Documents that apply to the “Purchasers.”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The Placement Agent shall be the third party beneficiary of the representations and warranties of the Company in Section 3.1 and the representations and warranties of the Purchasers in Section 3.2. This Agreement is intended for the benefit of the parties hereto and their respective successors and permitted assigns and is not for the benefit of, nor may any provision hereof be enforced by, any other Person, except as otherwise set forth in Section 4.8 and this Section 5.8.</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4.8, the prevailing party in such Action or Proceeding shall be reimbursed by the non- prevailing party for its reasonable attorneys’ fees and other costs and expenses incurred with the investigation, preparation and prosecution of such Action or Proceeding.</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5" w:name="page46"/>
    <w:bookmarkEnd w:id="45"/>
    <w:p>
      <w:pPr>
        <w:ind w:left="660"/>
        <w:spacing w:after="0"/>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representations and warranties contained herein shall survive the Closing and the delivery of the Securities.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Execution</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e-mail delivery of a “.pdf” format data file, such signature shall create a valid and binding obligation of the party executing (or on whose behalf such signature is executed) with the same force and effect as if such “.pdf” signature page were an original thereof.</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Rescission and Withdrawal Right</w:t>
      </w:r>
      <w:r>
        <w:rPr>
          <w:rFonts w:ascii="Times New Roman" w:cs="Times New Roman" w:eastAsia="Times New Roman" w:hAnsi="Times New Roman"/>
          <w:sz w:val="18"/>
          <w:szCs w:val="18"/>
          <w:color w:val="auto"/>
        </w:rPr>
        <w:t>.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Replacement of Securities</w:t>
      </w:r>
      <w:r>
        <w:rPr>
          <w:rFonts w:ascii="Times New Roman" w:cs="Times New Roman" w:eastAsia="Times New Roman" w:hAnsi="Times New Roman"/>
          <w:sz w:val="18"/>
          <w:szCs w:val="18"/>
          <w:color w:val="auto"/>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6" w:name="page47"/>
    <w:bookmarkEnd w:id="46"/>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Payment Set Aside</w:t>
      </w:r>
      <w:r>
        <w:rPr>
          <w:rFonts w:ascii="Times New Roman" w:cs="Times New Roman" w:eastAsia="Times New Roman" w:hAnsi="Times New Roman"/>
          <w:sz w:val="18"/>
          <w:szCs w:val="18"/>
          <w:color w:val="auto"/>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u w:val="single" w:color="auto"/>
          <w:color w:val="auto"/>
        </w:rPr>
        <w:t>Independent Nature of Purchasers’ Obligations and Rights</w:t>
      </w:r>
      <w:r>
        <w:rPr>
          <w:rFonts w:ascii="Times New Roman" w:cs="Times New Roman" w:eastAsia="Times New Roman" w:hAnsi="Times New Roman"/>
          <w:sz w:val="18"/>
          <w:szCs w:val="18"/>
          <w:color w:val="auto"/>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For reasons of administrative convenience only, each Purchaser and its respective counsel have chosen to communicate with the Company through Thompson Hine. Thompson Hine does not represent any of the Purchasers and only represents the Placement Agent.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spacing w:after="0" w:line="19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u w:val="single" w:color="auto"/>
          <w:color w:val="auto"/>
        </w:rPr>
        <w:t>Liquidated Damages</w:t>
      </w:r>
      <w:r>
        <w:rPr>
          <w:rFonts w:ascii="Times New Roman" w:cs="Times New Roman" w:eastAsia="Times New Roman" w:hAnsi="Times New Roman"/>
          <w:sz w:val="18"/>
          <w:szCs w:val="18"/>
          <w:color w:val="auto"/>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5.19 </w:t>
      </w: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xml:space="preserve">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5.20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Ordinary Shares in any Transaction Document shall be subject to adjustment for reverse and forward stock splits, stock dividends, stock combinations and other similar transactions of the Ordinary Shares that occur after the date of this Agreement.</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5.21 </w:t>
      </w: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IN ANY ACTION, SUIT, OR PROCEEDING IN ANY JURISDICTION BROUGHT BY ANY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AGAINST ANY OTHER PARTY, THE PARTIES EACH KNOWINGLY AND INTENTIONALLY, TO THE GREATEST EXTENT PERMITTED BY APPLICABLE LAW, HEREBY ABSOLUTELY, UNCONDITIONALLY, IRREVOCABLY AND EXPRESSLY WAIVES FOREVER TRIAL BY JURY.</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7" w:name="page48"/>
    <w:bookmarkEnd w:id="47"/>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Securities Purchase Agreement to be duly executed by their respective authorized signatories as of the date first indicated above.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ROADZEN INC.</w:t>
            </w:r>
          </w:p>
        </w:tc>
        <w:tc>
          <w:tcPr>
            <w:tcW w:w="2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Address for Notice:</w:t>
            </w:r>
          </w:p>
        </w:tc>
      </w:tr>
      <w:tr>
        <w:trPr>
          <w:trHeight w:val="20"/>
        </w:trPr>
        <w:tc>
          <w:tcPr>
            <w:tcW w:w="5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18"/>
        </w:trPr>
        <w:tc>
          <w:tcPr>
            <w:tcW w:w="58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2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111 Anza Blvd. Suite 109</w:t>
            </w:r>
          </w:p>
        </w:tc>
      </w:tr>
      <w:tr>
        <w:trPr>
          <w:trHeight w:val="216"/>
        </w:trPr>
        <w:tc>
          <w:tcPr>
            <w:tcW w:w="58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2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Burlingame, CA 94010</w:t>
            </w:r>
          </w:p>
        </w:tc>
      </w:tr>
      <w:tr>
        <w:trPr>
          <w:trHeight w:val="216"/>
        </w:trPr>
        <w:tc>
          <w:tcPr>
            <w:tcW w:w="58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2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Attn: Jean-Noël Gallardo</w:t>
            </w:r>
          </w:p>
        </w:tc>
      </w:tr>
      <w:tr>
        <w:trPr>
          <w:trHeight w:val="194"/>
        </w:trPr>
        <w:tc>
          <w:tcPr>
            <w:tcW w:w="58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210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w w:val="98"/>
              </w:rPr>
              <w:t>Email: jean-noel@roadzen.ai</w:t>
            </w:r>
          </w:p>
        </w:tc>
      </w:tr>
      <w:tr>
        <w:trPr>
          <w:trHeight w:val="453"/>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52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Jean-Noël Gallardo</w:t>
            </w:r>
          </w:p>
        </w:tc>
        <w:tc>
          <w:tcPr>
            <w:tcW w:w="5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34"/>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32"/>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14"/>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Greenburg Traurig, LLP</w:t>
            </w: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1750 Tysons Boulevard, Suite 1000</w:t>
            </w: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McLean, VA 22102</w:t>
            </w: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Attn: Jason Simon</w:t>
            </w: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4"/>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Email: Jason.simon@gtlaw.com</w:t>
            </w: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80" w:type="dxa"/>
            <w:vAlign w:val="bottom"/>
          </w:tcPr>
          <w:p>
            <w:pPr>
              <w:spacing w:after="0"/>
              <w:rPr>
                <w:sz w:val="20"/>
                <w:szCs w:val="20"/>
                <w:color w:val="auto"/>
              </w:rPr>
            </w:pPr>
          </w:p>
        </w:tc>
      </w:tr>
    </w:tbl>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FOR PURCHASER FOLLOWS]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color w:val="auto"/>
        </w:rPr>
        <w:t>[PURCHASER SIGNATURE PAGES TO RDZN SECURITIES PURCHASE AGREEMENT]</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have caused this Securities Purchase Agreement to be duly executed by their respective authorized signatories as of the date first indicated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Purchaser: ________________________________________________________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Purchaser</w:t>
      </w:r>
      <w:r>
        <w:rPr>
          <w:rFonts w:ascii="Times New Roman" w:cs="Times New Roman" w:eastAsia="Times New Roman" w:hAnsi="Times New Roman"/>
          <w:sz w:val="18"/>
          <w:szCs w:val="18"/>
          <w:color w:val="auto"/>
        </w:rPr>
        <w:t>: _________________________________</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 of Authorized Signatory: 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 to Purchaser: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Delivery of Securities to Purchaser (if not same as address for notice):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Amount: $_________________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EIN Number: ____________________</w:t>
      </w:r>
    </w:p>
    <w:p>
      <w:pPr>
        <w:spacing w:after="0" w:line="225" w:lineRule="exact"/>
        <w:rPr>
          <w:sz w:val="20"/>
          <w:szCs w:val="20"/>
          <w:color w:val="auto"/>
        </w:rPr>
      </w:pPr>
    </w:p>
    <w:p>
      <w:pPr>
        <w:jc w:val="both"/>
        <w:ind w:firstLine="8"/>
        <w:spacing w:after="0" w:line="255" w:lineRule="auto"/>
        <w:tabs>
          <w:tab w:leader="none" w:pos="228" w:val="left"/>
        </w:tabs>
        <w:numPr>
          <w:ilvl w:val="0"/>
          <w:numId w:val="5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Notwithstanding anything contained in this Agreement to the contrary, by checking this box (i) the obligations of the above-signed to purchase the securities set forth in this Agreement to be purchased from the Company by the above-signed, and the obligations of the Company to sell such securities to the above-signed, shall be unconditional and all conditions to Closing shall be disregarded, (ii) the Closing shall occur on the first (1st) Trading Day following the date of this Agreement and (iii) any condition to Closing contemplated by this Agreement (but prior to being disregarded by clause (i) above) that required delivery by the Company or the above-signed of any agreement, instrument, certificate or the like or purchase price (as applicable) shall no longer be a condition and shall instead be an unconditional obligation of the Company or the above-signed (as applicable) to deliver such agreement, instrument, certificate or the like or purchase price (as applicable) to such other party on the Closing Date.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PAGES CONTINUE]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9" w:name="page50"/>
    <w:bookmarkEnd w:id="49"/>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Roadzen Announces Pricing of $8.0 Million Registered Direct Offering of Ordinary Shares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NEW YORK, May 4, 2026 (GLOBE NEWSWIRE) — Roadzen Inc. (Nasdaq: RDZN) (“Roadzen” or the “Company”), a global leader in AI at the convergence of insurance and mobility, today announced that it has entered into a securities purchase agreement with institutional investors for the purchase and sale of 4,705,870 ordinary shares at an offering price of $1.70 per share, in a registered direct offering (the “Offering”).</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gross proceeds to the Company from the Offering are estimated to be approximately $8.0 million before deducting the placement agent’s fees and other estimated offering expenses. The offering is expected to close on or about May 5, 2026, subject to the satisfaction of customary closing conditions.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Maxim Group LLC is acting as the sole placement agent in connection with the Offering.</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securities are being offered pursuant to a shelf registration statement on Form S-3 (File No. 333-282966), which was declared effective by the U.S. Securities and Exchange Commission (the “SEC”) on November 12, 2024. The offering will be made only by means of a prospectus supplement and the accompanying prospectus that form a part of such registration statement. A prospectus supplement relating to the Offering will be filed by the Company with the SEC. When available, copies of the prospectus supplement and accompanying prospectus can be obtained at the SEC’s website at www.sec.gov or from Maxim Group LLC, 300 Park Avenue, New York, NY 10022, Attention: Syndicate Department, via email at syndicate@maximgrp.com, or telephone at (212) 895-3500.</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press release does not constitute an offer to sell or the solicitation of an offer to buy, nor will there be any sales of these securities in any jurisdiction in which such offer, solicitation or sale would be unlawful prior to registration or qualification under the securities laws of such jurisdiction.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Roadzen Inc.</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Roadzen Inc. (Nasdaq: RDZN) is a global leader in AI at the convergence of insurance and mobility. Roadzen builds technology that helps insurers, automakers, and fleets better predict and prevent risk, automate claims, and deliver seamless, embedded insurance experiences.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Thousands of clients across North America, Europe, and Asia — from the world’s leading insurers, carmakers, and fleets to dealerships and agents — use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Roadzen’s technology to build new products, sell insurance, process claims, and improve road safety. Roadzen’s pioneering work in telematics, generative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AI, and computer vision has earned recognition from Forbes, Fortune, and Financial Express as one of the world’s top AI innovators.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Headquartered in Burlingame, California, Roadzen employs more than 300 people across offices in the U.S., U.K., and India. Learn more at www.roadzen.ai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 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includes forward-looking statements within the meaning of Section 27A of the Securities Act of 1933, as amended (the “Securities Act”), and Section 21E of the Securities Exchange Act of 1934, as amended (the “Exchange Act”). We have based these forward-looking statements on our current expectations and projections about future events.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In some cases, you can identify forward-looking statements by terminology such as “may,” “should,” “could,” “would,” “expect,” “plan,” “anticipate,” “believe,” “estimate,” and “continue,” or the negative of such terms or other similar expressions. Such statements include, but are not limited to, statements regarding our anticipated future financial results (including ability to achieve breakeven Adjusted EBITDA), the anticipated closing of our registered direct offering, the anticipated benefits of our products and solutions, strategy, demand for our products, expansion plans, future operations, future operating results, estimated revenues, losses, projected costs, prospects, plans and objectives of management, as well as all other statements other than statements of historical fact included in this press release. Factors that might cause or contribute to such a discrepancy include, but are not limited to, those described in “Risk Factors” in our Securities and Exchange Commission (“SEC”) filings, including the annual report on Form 10-K we filed with the SEC on June 26, 2025. We urge you to consider these factors, risks and uncertainties carefully in evaluating the forward-looking statements contained in this press release. All subsequent written or oral forward-looking statements attributable to our company or persons acting on our behalf are expressly qualified in their entirety by these cautionary statements. The forward-looking statements included in this press release are made only as of the date of this release. Except as expressly required by applicable securities law, we disclaim any intention or obligation to update or revise any forward-looking statements, whether as a result of new information, future events or otherwise.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Contacts: IR@roadzen.ai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Contacts: Sanya Soni sanya@roadzen.ai or media@roadzen.ai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3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1"/>
      <w:numFmt w:val="bullet"/>
      <w:start w:val="1"/>
    </w:lvl>
  </w:abstractNum>
  <w:abstractNum w:abstractNumId="2">
    <w:nsid w:val="3A95F874"/>
    <w:multiLevelType w:val="hybridMultilevel"/>
    <w:lvl w:ilvl="0">
      <w:lvlJc w:val="left"/>
      <w:lvlText w:val="2"/>
      <w:numFmt w:val="bullet"/>
      <w:start w:val="1"/>
    </w:lvl>
  </w:abstractNum>
  <w:abstractNum w:abstractNumId="3">
    <w:nsid w:val="8138641"/>
    <w:multiLevelType w:val="hybridMultilevel"/>
    <w:lvl w:ilvl="0">
      <w:lvlJc w:val="left"/>
      <w:lvlText w:val="3"/>
      <w:numFmt w:val="bullet"/>
      <w:start w:val="1"/>
    </w:lvl>
  </w:abstractNum>
  <w:abstractNum w:abstractNumId="4">
    <w:nsid w:val="1E7FF521"/>
    <w:multiLevelType w:val="hybridMultilevel"/>
    <w:lvl w:ilvl="0">
      <w:lvlJc w:val="left"/>
      <w:lvlText w:val="4"/>
      <w:numFmt w:val="bullet"/>
      <w:start w:val="1"/>
    </w:lvl>
  </w:abstractNum>
  <w:abstractNum w:abstractNumId="5">
    <w:nsid w:val="7C3DBD3D"/>
    <w:multiLevelType w:val="hybridMultilevel"/>
    <w:lvl w:ilvl="0">
      <w:lvlJc w:val="left"/>
      <w:lvlText w:val="(%1)"/>
      <w:numFmt w:val="lowerLetter"/>
      <w:start w:val="1"/>
    </w:lvl>
  </w:abstractNum>
  <w:abstractNum w:abstractNumId="6">
    <w:nsid w:val="737B8DDC"/>
    <w:multiLevelType w:val="hybridMultilevel"/>
    <w:lvl w:ilvl="0">
      <w:lvlJc w:val="left"/>
      <w:lvlText w:val="1"/>
      <w:numFmt w:val="bullet"/>
      <w:start w:val="1"/>
    </w:lvl>
  </w:abstractNum>
  <w:abstractNum w:abstractNumId="7">
    <w:nsid w:val="6CEAF087"/>
    <w:multiLevelType w:val="hybridMultilevel"/>
    <w:lvl w:ilvl="0">
      <w:lvlJc w:val="left"/>
      <w:lvlText w:val="2"/>
      <w:numFmt w:val="bullet"/>
      <w:start w:val="1"/>
    </w:lvl>
  </w:abstractNum>
  <w:abstractNum w:abstractNumId="8">
    <w:nsid w:val="22221A70"/>
    <w:multiLevelType w:val="hybridMultilevel"/>
    <w:lvl w:ilvl="0">
      <w:lvlJc w:val="left"/>
      <w:lvlText w:val="3"/>
      <w:numFmt w:val="bullet"/>
      <w:start w:val="1"/>
    </w:lvl>
  </w:abstractNum>
  <w:abstractNum w:abstractNumId="9">
    <w:nsid w:val="4516DDE9"/>
    <w:multiLevelType w:val="hybridMultilevel"/>
    <w:lvl w:ilvl="0">
      <w:lvlJc w:val="left"/>
      <w:lvlText w:val="4"/>
      <w:numFmt w:val="bullet"/>
      <w:start w:val="1"/>
    </w:lvl>
  </w:abstractNum>
  <w:abstractNum w:abstractNumId="10">
    <w:nsid w:val="3006C83E"/>
    <w:multiLevelType w:val="hybridMultilevel"/>
    <w:lvl w:ilvl="0">
      <w:lvlJc w:val="left"/>
      <w:lvlText w:val="5"/>
      <w:numFmt w:val="bullet"/>
      <w:start w:val="1"/>
    </w:lvl>
  </w:abstractNum>
  <w:abstractNum w:abstractNumId="11">
    <w:nsid w:val="614FD4A1"/>
    <w:multiLevelType w:val="hybridMultilevel"/>
    <w:lvl w:ilvl="0">
      <w:lvlJc w:val="left"/>
      <w:lvlText w:val="6"/>
      <w:numFmt w:val="bullet"/>
      <w:start w:val="1"/>
    </w:lvl>
  </w:abstractNum>
  <w:abstractNum w:abstractNumId="12">
    <w:nsid w:val="419AC241"/>
    <w:multiLevelType w:val="hybridMultilevel"/>
    <w:lvl w:ilvl="0">
      <w:lvlJc w:val="left"/>
      <w:lvlText w:val="7"/>
      <w:numFmt w:val="bullet"/>
      <w:start w:val="1"/>
    </w:lvl>
  </w:abstractNum>
  <w:abstractNum w:abstractNumId="13">
    <w:nsid w:val="5577F8E1"/>
    <w:multiLevelType w:val="hybridMultilevel"/>
    <w:lvl w:ilvl="0">
      <w:lvlJc w:val="left"/>
      <w:lvlText w:val="8"/>
      <w:numFmt w:val="bullet"/>
      <w:start w:val="1"/>
    </w:lvl>
  </w:abstractNum>
  <w:abstractNum w:abstractNumId="14">
    <w:nsid w:val="440BADFC"/>
    <w:multiLevelType w:val="hybridMultilevel"/>
    <w:lvl w:ilvl="0">
      <w:lvlJc w:val="left"/>
      <w:lvlText w:val="9"/>
      <w:numFmt w:val="bullet"/>
      <w:start w:val="1"/>
    </w:lvl>
  </w:abstractNum>
  <w:abstractNum w:abstractNumId="15">
    <w:nsid w:val="5072367"/>
    <w:multiLevelType w:val="hybridMultilevel"/>
    <w:lvl w:ilvl="0">
      <w:lvlJc w:val="left"/>
      <w:lvlText w:val="%1"/>
      <w:numFmt w:val="decimal"/>
      <w:start w:val="10"/>
    </w:lvl>
  </w:abstractNum>
  <w:abstractNum w:abstractNumId="16">
    <w:nsid w:val="3804823E"/>
    <w:multiLevelType w:val="hybridMultilevel"/>
    <w:lvl w:ilvl="0">
      <w:lvlJc w:val="left"/>
      <w:lvlText w:val="(%1)"/>
      <w:numFmt w:val="lowerLetter"/>
      <w:start w:val="1"/>
    </w:lvl>
  </w:abstractNum>
  <w:abstractNum w:abstractNumId="17">
    <w:nsid w:val="77465F01"/>
    <w:multiLevelType w:val="hybridMultilevel"/>
    <w:lvl w:ilvl="0">
      <w:lvlJc w:val="left"/>
      <w:lvlText w:val="%1."/>
      <w:numFmt w:val="decimal"/>
      <w:start w:val="1"/>
    </w:lvl>
  </w:abstractNum>
  <w:abstractNum w:abstractNumId="18">
    <w:nsid w:val="7724C67E"/>
    <w:multiLevelType w:val="hybridMultilevel"/>
    <w:lvl w:ilvl="0">
      <w:lvlJc w:val="left"/>
      <w:lvlText w:val="%1."/>
      <w:numFmt w:val="decimal"/>
      <w:start w:val="2"/>
    </w:lvl>
  </w:abstractNum>
  <w:abstractNum w:abstractNumId="19">
    <w:nsid w:val="5C482A97"/>
    <w:multiLevelType w:val="hybridMultilevel"/>
    <w:lvl w:ilvl="0">
      <w:lvlJc w:val="left"/>
      <w:lvlText w:val="(%1)"/>
      <w:numFmt w:val="lowerLetter"/>
      <w:start w:val="2"/>
    </w:lvl>
  </w:abstractNum>
  <w:abstractNum w:abstractNumId="20">
    <w:nsid w:val="2463B9EA"/>
    <w:multiLevelType w:val="hybridMultilevel"/>
    <w:lvl w:ilvl="0">
      <w:lvlJc w:val="left"/>
      <w:lvlText w:val="(%1)"/>
      <w:numFmt w:val="lowerLetter"/>
      <w:start w:val="1"/>
    </w:lvl>
  </w:abstractNum>
  <w:abstractNum w:abstractNumId="21">
    <w:nsid w:val="5E884ADC"/>
    <w:multiLevelType w:val="hybridMultilevel"/>
    <w:lvl w:ilvl="0">
      <w:lvlJc w:val="left"/>
      <w:lvlText w:val="(%1)"/>
      <w:numFmt w:val="lowerLetter"/>
      <w:start w:val="2"/>
    </w:lvl>
  </w:abstractNum>
  <w:abstractNum w:abstractNumId="22">
    <w:nsid w:val="51EAD36B"/>
    <w:multiLevelType w:val="hybridMultilevel"/>
    <w:lvl w:ilvl="0">
      <w:lvlJc w:val="left"/>
      <w:lvlText w:val="(%1)"/>
      <w:numFmt w:val="lowerLetter"/>
      <w:start w:val="6"/>
    </w:lvl>
  </w:abstractNum>
  <w:abstractNum w:abstractNumId="23">
    <w:nsid w:val="2D517796"/>
    <w:multiLevelType w:val="hybridMultilevel"/>
    <w:lvl w:ilvl="0">
      <w:lvlJc w:val="left"/>
      <w:lvlText w:val="(%1)"/>
      <w:numFmt w:val="lowerLetter"/>
      <w:start w:val="1"/>
    </w:lvl>
  </w:abstractNum>
  <w:abstractNum w:abstractNumId="24">
    <w:nsid w:val="580BD78F"/>
    <w:multiLevelType w:val="hybridMultilevel"/>
    <w:lvl w:ilvl="0">
      <w:lvlJc w:val="left"/>
      <w:lvlText w:val="(%1)"/>
      <w:numFmt w:val="lowerLetter"/>
      <w:start w:val="2"/>
    </w:lvl>
  </w:abstractNum>
  <w:abstractNum w:abstractNumId="25">
    <w:nsid w:val="153EA438"/>
    <w:multiLevelType w:val="hybridMultilevel"/>
    <w:lvl w:ilvl="0">
      <w:lvlJc w:val="left"/>
      <w:lvlText w:val="(%1)"/>
      <w:numFmt w:val="lowerLetter"/>
      <w:start w:val="6"/>
    </w:lvl>
  </w:abstractNum>
  <w:abstractNum w:abstractNumId="26">
    <w:nsid w:val="3855585C"/>
    <w:multiLevelType w:val="hybridMultilevel"/>
    <w:lvl w:ilvl="0">
      <w:lvlJc w:val="left"/>
      <w:lvlText w:val="(%1)"/>
      <w:numFmt w:val="lowerLetter"/>
      <w:start w:val="16"/>
    </w:lvl>
  </w:abstractNum>
  <w:abstractNum w:abstractNumId="27">
    <w:nsid w:val="70A64E2A"/>
    <w:multiLevelType w:val="hybridMultilevel"/>
    <w:lvl w:ilvl="0">
      <w:lvlJc w:val="left"/>
      <w:lvlText w:val="(%1)"/>
      <w:numFmt w:val="lowerLetter"/>
      <w:start w:val="1"/>
    </w:lvl>
  </w:abstractNum>
  <w:abstractNum w:abstractNumId="28">
    <w:nsid w:val="6A2342EC"/>
    <w:multiLevelType w:val="hybridMultilevel"/>
    <w:lvl w:ilvl="0">
      <w:lvlJc w:val="left"/>
      <w:lvlText w:val="(%1)"/>
      <w:numFmt w:val="lowerLetter"/>
      <w:start w:val="5"/>
    </w:lvl>
    <w:lvl w:ilvl="1">
      <w:lvlJc w:val="left"/>
      <w:lvlText w:val="(%2)"/>
      <w:numFmt w:val="lowerRoman"/>
      <w:start w:val="1"/>
    </w:lvl>
  </w:abstractNum>
  <w:abstractNum w:abstractNumId="29">
    <w:nsid w:val="2A487CB0"/>
    <w:multiLevelType w:val="hybridMultilevel"/>
    <w:lvl w:ilvl="0">
      <w:lvlJc w:val="left"/>
      <w:lvlText w:val="(%1)"/>
      <w:numFmt w:val="lowerLetter"/>
      <w:start w:val="8"/>
    </w:lvl>
  </w:abstractNum>
  <w:abstractNum w:abstractNumId="30">
    <w:nsid w:val="1D4ED43B"/>
    <w:multiLevelType w:val="hybridMultilevel"/>
    <w:lvl w:ilvl="0">
      <w:lvlJc w:val="left"/>
      <w:lvlText w:val="(%1)"/>
      <w:numFmt w:val="lowerLetter"/>
      <w:start w:val="1"/>
    </w:lvl>
  </w:abstractNum>
  <w:abstractNum w:abstractNumId="31">
    <w:nsid w:val="725A06FB"/>
    <w:multiLevelType w:val="hybridMultilevel"/>
    <w:lvl w:ilvl="0">
      <w:lvlJc w:val="left"/>
      <w:lvlText w:val="(%1)"/>
      <w:numFmt w:val="lowerLetter"/>
      <w:start w:val="2"/>
    </w:lvl>
  </w:abstractNum>
  <w:abstractNum w:abstractNumId="32">
    <w:nsid w:val="2CD89A32"/>
    <w:multiLevelType w:val="hybridMultilevel"/>
    <w:lvl w:ilvl="0">
      <w:lvlJc w:val="left"/>
      <w:lvlText w:val="(%1)"/>
      <w:numFmt w:val="lowerLetter"/>
      <w:start w:val="4"/>
    </w:lvl>
  </w:abstractNum>
  <w:abstractNum w:abstractNumId="33">
    <w:nsid w:val="57E4CCAF"/>
    <w:multiLevelType w:val="hybridMultilevel"/>
    <w:lvl w:ilvl="0">
      <w:lvlJc w:val="left"/>
      <w:lvlText w:val="(%1)"/>
      <w:numFmt w:val="lowerLetter"/>
      <w:start w:val="1"/>
    </w:lvl>
  </w:abstractNum>
  <w:abstractNum w:abstractNumId="34">
    <w:nsid w:val="7A6D8D3C"/>
    <w:multiLevelType w:val="hybridMultilevel"/>
    <w:lvl w:ilvl="0">
      <w:lvlJc w:val="left"/>
      <w:lvlText w:val="(%1)"/>
      <w:numFmt w:val="lowerLetter"/>
      <w:start w:val="1"/>
    </w:lvl>
    <w:lvl w:ilvl="1">
      <w:lvlJc w:val="left"/>
      <w:lvlText w:val="(%2)"/>
      <w:numFmt w:val="lowerRoman"/>
      <w:start w:val="1"/>
    </w:lvl>
  </w:abstractNum>
  <w:abstractNum w:abstractNumId="35">
    <w:nsid w:val="4B588F54"/>
    <w:multiLevelType w:val="hybridMultilevel"/>
    <w:lvl w:ilvl="0">
      <w:lvlJc w:val="left"/>
      <w:lvlText w:val="(%1)"/>
      <w:numFmt w:val="lowerLetter"/>
      <w:start w:val="1"/>
    </w:lvl>
    <w:lvl w:ilvl="1">
      <w:lvlJc w:val="left"/>
      <w:lvlText w:val="(%2)"/>
      <w:numFmt w:val="lowerLetter"/>
      <w:start w:val="9"/>
    </w:lvl>
  </w:abstractNum>
  <w:abstractNum w:abstractNumId="36">
    <w:nsid w:val="542289EC"/>
    <w:multiLevelType w:val="hybridMultilevel"/>
    <w:lvl w:ilvl="0">
      <w:lvlJc w:val="left"/>
      <w:lvlText w:val="%1"/>
      <w:numFmt w:val="lowerLetter"/>
      <w:start w:val="1"/>
    </w:lvl>
    <w:lvl w:ilvl="1">
      <w:lvlJc w:val="left"/>
      <w:lvlText w:val="(%2)"/>
      <w:numFmt w:val="lowerRoman"/>
      <w:start w:val="2"/>
    </w:lvl>
  </w:abstractNum>
  <w:abstractNum w:abstractNumId="37">
    <w:nsid w:val="6DE91B18"/>
    <w:multiLevelType w:val="hybridMultilevel"/>
    <w:lvl w:ilvl="0">
      <w:lvlJc w:val="left"/>
      <w:lvlText w:val="(%1)"/>
      <w:numFmt w:val="lowerLetter"/>
      <w:start w:val="2"/>
    </w:lvl>
    <w:lvl w:ilvl="1">
      <w:lvlJc w:val="left"/>
      <w:lvlText w:val="%2"/>
      <w:numFmt w:val="lowerRoman"/>
      <w:start w:val="1"/>
    </w:lvl>
  </w:abstractNum>
  <w:abstractNum w:abstractNumId="38">
    <w:nsid w:val="38437FDB"/>
    <w:multiLevelType w:val="hybridMultilevel"/>
    <w:lvl w:ilvl="0">
      <w:lvlJc w:val="left"/>
      <w:lvlText w:val="(%1)"/>
      <w:numFmt w:val="lowerRoman"/>
      <w:start w:val="1"/>
    </w:lvl>
  </w:abstractNum>
  <w:abstractNum w:abstractNumId="39">
    <w:nsid w:val="7644A45C"/>
    <w:multiLevelType w:val="hybridMultilevel"/>
    <w:lvl w:ilvl="0">
      <w:lvlJc w:val="left"/>
      <w:lvlText w:val="(%1)"/>
      <w:numFmt w:val="lowerLetter"/>
      <w:start w:val="1"/>
    </w:lvl>
  </w:abstractNum>
  <w:abstractNum w:abstractNumId="40">
    <w:nsid w:val="32FFF902"/>
    <w:multiLevelType w:val="hybridMultilevel"/>
    <w:lvl w:ilvl="0">
      <w:lvlJc w:val="left"/>
      <w:lvlText w:val="(%1)"/>
      <w:numFmt w:val="lowerLetter"/>
      <w:start w:val="2"/>
    </w:lvl>
  </w:abstractNum>
  <w:abstractNum w:abstractNumId="41">
    <w:nsid w:val="684A481A"/>
    <w:multiLevelType w:val="hybridMultilevel"/>
    <w:lvl w:ilvl="0">
      <w:lvlJc w:val="left"/>
      <w:lvlText w:val="(%1)"/>
      <w:numFmt w:val="lowerLetter"/>
      <w:start w:val="6"/>
    </w:lvl>
  </w:abstractNum>
  <w:abstractNum w:abstractNumId="42">
    <w:nsid w:val="579478FE"/>
    <w:multiLevelType w:val="hybridMultilevel"/>
    <w:lvl w:ilvl="0">
      <w:lvlJc w:val="left"/>
      <w:lvlText w:val="(%1)"/>
      <w:numFmt w:val="lowerLetter"/>
      <w:start w:val="8"/>
    </w:lvl>
  </w:abstractNum>
  <w:abstractNum w:abstractNumId="43">
    <w:nsid w:val="749ABB43"/>
    <w:multiLevelType w:val="hybridMultilevel"/>
    <w:lvl w:ilvl="0">
      <w:lvlJc w:val="left"/>
      <w:lvlText w:val="(%1)"/>
      <w:numFmt w:val="lowerLetter"/>
      <w:start w:val="11"/>
    </w:lvl>
  </w:abstractNum>
  <w:abstractNum w:abstractNumId="44">
    <w:nsid w:val="3DC240FB"/>
    <w:multiLevelType w:val="hybridMultilevel"/>
    <w:lvl w:ilvl="0">
      <w:lvlJc w:val="left"/>
      <w:lvlText w:val="(%1)"/>
      <w:numFmt w:val="lowerLetter"/>
      <w:start w:val="15"/>
    </w:lvl>
  </w:abstractNum>
  <w:abstractNum w:abstractNumId="45">
    <w:nsid w:val="1BA026FA"/>
    <w:multiLevelType w:val="hybridMultilevel"/>
    <w:lvl w:ilvl="0">
      <w:lvlJc w:val="left"/>
      <w:lvlText w:val="(%1)"/>
      <w:numFmt w:val="lowerLetter"/>
      <w:start w:val="20"/>
    </w:lvl>
  </w:abstractNum>
  <w:abstractNum w:abstractNumId="46">
    <w:nsid w:val="79A1DEAA"/>
    <w:multiLevelType w:val="hybridMultilevel"/>
    <w:lvl w:ilvl="0">
      <w:lvlJc w:val="left"/>
      <w:lvlText w:val="(%1)"/>
      <w:numFmt w:val="lowerLetter"/>
      <w:start w:val="25"/>
    </w:lvl>
  </w:abstractNum>
  <w:abstractNum w:abstractNumId="47">
    <w:nsid w:val="75C6C33A"/>
    <w:multiLevelType w:val="hybridMultilevel"/>
    <w:lvl w:ilvl="0">
      <w:lvlJc w:val="left"/>
      <w:lvlText w:val="%1"/>
      <w:numFmt w:val="lowerLetter"/>
      <w:start w:val="1"/>
    </w:lvl>
    <w:lvl w:ilvl="1">
      <w:lvlJc w:val="left"/>
      <w:lvlText w:val="(%2)"/>
      <w:numFmt w:val="lowerLetter"/>
      <w:start w:val="27"/>
    </w:lvl>
  </w:abstractNum>
  <w:abstractNum w:abstractNumId="48">
    <w:nsid w:val="12E685FB"/>
    <w:multiLevelType w:val="hybridMultilevel"/>
    <w:lvl w:ilvl="0">
      <w:lvlJc w:val="left"/>
      <w:lvlText w:val="(%1)"/>
      <w:numFmt w:val="lowerLetter"/>
      <w:start w:val="61"/>
    </w:lvl>
    <w:lvl w:ilvl="1">
      <w:lvlJc w:val="left"/>
      <w:lvlText w:val="%2"/>
      <w:numFmt w:val="lowerLetter"/>
      <w:start w:val="1"/>
    </w:lvl>
  </w:abstractNum>
  <w:abstractNum w:abstractNumId="49">
    <w:nsid w:val="70C6A529"/>
    <w:multiLevelType w:val="hybridMultilevel"/>
    <w:lvl w:ilvl="0">
      <w:lvlJc w:val="left"/>
      <w:lvlText w:val="%1"/>
      <w:numFmt w:val="lowerLetter"/>
      <w:start w:val="1"/>
    </w:lvl>
    <w:lvl w:ilvl="1">
      <w:lvlJc w:val="left"/>
      <w:lvlText w:val="(%2)"/>
      <w:numFmt w:val="lowerLetter"/>
      <w:start w:val="29"/>
    </w:lvl>
  </w:abstractNum>
  <w:abstractNum w:abstractNumId="50">
    <w:nsid w:val="520EEDD1"/>
    <w:multiLevelType w:val="hybridMultilevel"/>
    <w:lvl w:ilvl="0">
      <w:lvlJc w:val="left"/>
      <w:lvlText w:val="(%1)"/>
      <w:numFmt w:val="lowerLetter"/>
      <w:start w:val="61"/>
    </w:lvl>
    <w:lvl w:ilvl="1">
      <w:lvlJc w:val="left"/>
      <w:lvlText w:val="%2"/>
      <w:numFmt w:val="lowerLetter"/>
      <w:start w:val="1"/>
    </w:lvl>
  </w:abstractNum>
  <w:abstractNum w:abstractNumId="51">
    <w:nsid w:val="374A3FE6"/>
    <w:multiLevelType w:val="hybridMultilevel"/>
    <w:lvl w:ilvl="0">
      <w:lvlJc w:val="left"/>
      <w:lvlText w:val="(%1)"/>
      <w:numFmt w:val="lowerLetter"/>
      <w:start w:val="34"/>
    </w:lvl>
  </w:abstractNum>
  <w:abstractNum w:abstractNumId="52">
    <w:nsid w:val="4F4EF005"/>
    <w:multiLevelType w:val="hybridMultilevel"/>
    <w:lvl w:ilvl="0">
      <w:lvlJc w:val="left"/>
      <w:lvlText w:val="(%1)"/>
      <w:numFmt w:val="lowerLetter"/>
      <w:start w:val="1"/>
    </w:lvl>
  </w:abstractNum>
  <w:abstractNum w:abstractNumId="53">
    <w:nsid w:val="23F9C13C"/>
    <w:multiLevelType w:val="hybridMultilevel"/>
    <w:lvl w:ilvl="0">
      <w:lvlJc w:val="left"/>
      <w:lvlText w:val="(%1)"/>
      <w:numFmt w:val="lowerLetter"/>
      <w:start w:val="2"/>
    </w:lvl>
  </w:abstractNum>
  <w:abstractNum w:abstractNumId="54">
    <w:nsid w:val="649BB77C"/>
    <w:multiLevelType w:val="hybridMultilevel"/>
    <w:lvl w:ilvl="0">
      <w:lvlJc w:val="left"/>
      <w:lvlText w:val="(%1)"/>
      <w:numFmt w:val="lowerRoman"/>
      <w:start w:val="1"/>
    </w:lvl>
  </w:abstractNum>
  <w:abstractNum w:abstractNumId="55">
    <w:nsid w:val="275AC79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2026-05-05T16:32:04Z</dcterms:created>
  <dcterms:modified xsi:type="dcterms:W3CDTF">2026-05-05T16:32:04Z</dcterms:modified>
</cp:coreProperties>
</file>